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B5" w:rsidRDefault="00613CB5" w:rsidP="00613CB5">
      <w:pPr>
        <w:pStyle w:val="Default"/>
      </w:pPr>
      <w:bookmarkStart w:id="0" w:name="_GoBack"/>
      <w:bookmarkEnd w:id="0"/>
    </w:p>
    <w:p w:rsidR="00613CB5" w:rsidRDefault="00613CB5" w:rsidP="00613CB5">
      <w:pPr>
        <w:pStyle w:val="Default"/>
        <w:rPr>
          <w:b/>
          <w:bCs/>
          <w:sz w:val="40"/>
          <w:szCs w:val="40"/>
        </w:rPr>
      </w:pPr>
      <w:r>
        <w:rPr>
          <w:b/>
          <w:bCs/>
          <w:sz w:val="40"/>
          <w:szCs w:val="40"/>
        </w:rPr>
        <w:t>Pupil Premium Report September 201</w:t>
      </w:r>
      <w:r w:rsidR="0053541C">
        <w:rPr>
          <w:b/>
          <w:bCs/>
          <w:sz w:val="40"/>
          <w:szCs w:val="40"/>
        </w:rPr>
        <w:t>8</w:t>
      </w:r>
    </w:p>
    <w:p w:rsidR="008B5282" w:rsidRDefault="008B5282" w:rsidP="00613CB5">
      <w:pPr>
        <w:pStyle w:val="Default"/>
        <w:rPr>
          <w:sz w:val="40"/>
          <w:szCs w:val="40"/>
        </w:rPr>
      </w:pPr>
    </w:p>
    <w:p w:rsidR="00613CB5" w:rsidRDefault="00613CB5" w:rsidP="00613CB5">
      <w:pPr>
        <w:pStyle w:val="Default"/>
        <w:rPr>
          <w:b/>
          <w:bCs/>
          <w:sz w:val="22"/>
          <w:szCs w:val="22"/>
        </w:rPr>
      </w:pPr>
      <w:r>
        <w:rPr>
          <w:b/>
          <w:bCs/>
          <w:sz w:val="22"/>
          <w:szCs w:val="22"/>
        </w:rPr>
        <w:t xml:space="preserve">National Guidelines </w:t>
      </w:r>
    </w:p>
    <w:p w:rsidR="00604B95" w:rsidRDefault="00604B95" w:rsidP="00613CB5">
      <w:pPr>
        <w:pStyle w:val="Default"/>
        <w:rPr>
          <w:sz w:val="22"/>
          <w:szCs w:val="22"/>
        </w:rPr>
      </w:pPr>
    </w:p>
    <w:p w:rsidR="00922AF2" w:rsidRDefault="00613CB5" w:rsidP="00613CB5">
      <w:pPr>
        <w:pStyle w:val="Default"/>
        <w:rPr>
          <w:sz w:val="22"/>
          <w:szCs w:val="22"/>
        </w:rPr>
      </w:pPr>
      <w:r>
        <w:rPr>
          <w:sz w:val="22"/>
          <w:szCs w:val="22"/>
        </w:rPr>
        <w:t>The Pupil Premium is a Government initiative designed to address the under-achievement of our most disadvantaged children, nominally those who are (or have been) eligible for free school meals (FSM), or are looked after by the Local Authority. It is up to schools to decide how best to use this additional funding, however, they must report how it is used to parents in a transparent manner, and evaluate its impact on students eligible for free school meals.</w:t>
      </w:r>
    </w:p>
    <w:p w:rsidR="00922AF2" w:rsidRDefault="00922AF2" w:rsidP="00613CB5">
      <w:pPr>
        <w:pStyle w:val="Default"/>
        <w:rPr>
          <w:sz w:val="22"/>
          <w:szCs w:val="22"/>
        </w:rPr>
      </w:pPr>
    </w:p>
    <w:p w:rsidR="009277D6" w:rsidRDefault="00613CB5" w:rsidP="00613CB5">
      <w:pPr>
        <w:pStyle w:val="Default"/>
        <w:rPr>
          <w:sz w:val="22"/>
          <w:szCs w:val="22"/>
        </w:rPr>
      </w:pPr>
      <w:r>
        <w:rPr>
          <w:sz w:val="22"/>
          <w:szCs w:val="22"/>
        </w:rPr>
        <w:t xml:space="preserve">While the number of students receiving free school meals determines the funding for a specific school, this should be regarded as a ‘proxy indicator’, as schools are required to </w:t>
      </w:r>
      <w:r w:rsidR="00C81550">
        <w:rPr>
          <w:sz w:val="22"/>
          <w:szCs w:val="22"/>
        </w:rPr>
        <w:t>diminish</w:t>
      </w:r>
      <w:r>
        <w:rPr>
          <w:sz w:val="22"/>
          <w:szCs w:val="22"/>
        </w:rPr>
        <w:t xml:space="preserve"> </w:t>
      </w:r>
      <w:r w:rsidRPr="00C81550">
        <w:rPr>
          <w:b/>
          <w:sz w:val="22"/>
          <w:szCs w:val="22"/>
        </w:rPr>
        <w:t>any</w:t>
      </w:r>
      <w:r>
        <w:rPr>
          <w:sz w:val="22"/>
          <w:szCs w:val="22"/>
        </w:rPr>
        <w:t xml:space="preserve"> attainment gap by addressing the under-achievement of </w:t>
      </w:r>
      <w:r w:rsidRPr="00C81550">
        <w:rPr>
          <w:b/>
          <w:sz w:val="22"/>
          <w:szCs w:val="22"/>
        </w:rPr>
        <w:t>any</w:t>
      </w:r>
      <w:r>
        <w:rPr>
          <w:sz w:val="22"/>
          <w:szCs w:val="22"/>
        </w:rPr>
        <w:t xml:space="preserve"> cohort or group of students. In short, the Pupil Premium will be used to address the under-achievement of any student, not just those students who attract specific funding. </w:t>
      </w:r>
      <w:r w:rsidR="00922AF2">
        <w:rPr>
          <w:sz w:val="22"/>
          <w:szCs w:val="22"/>
        </w:rPr>
        <w:t xml:space="preserve">At All Hallows RC </w:t>
      </w:r>
      <w:r w:rsidR="007F403F">
        <w:rPr>
          <w:sz w:val="22"/>
          <w:szCs w:val="22"/>
        </w:rPr>
        <w:t>High School</w:t>
      </w:r>
      <w:r w:rsidR="00922AF2">
        <w:rPr>
          <w:sz w:val="22"/>
          <w:szCs w:val="22"/>
        </w:rPr>
        <w:t xml:space="preserve">, we are committed to </w:t>
      </w:r>
      <w:r w:rsidR="00FF65A5">
        <w:rPr>
          <w:sz w:val="22"/>
          <w:szCs w:val="22"/>
        </w:rPr>
        <w:t>ensuring that</w:t>
      </w:r>
      <w:r w:rsidR="00922AF2">
        <w:rPr>
          <w:sz w:val="22"/>
          <w:szCs w:val="22"/>
        </w:rPr>
        <w:t xml:space="preserve"> the attainment and progre</w:t>
      </w:r>
      <w:r w:rsidR="004713FE">
        <w:rPr>
          <w:sz w:val="22"/>
          <w:szCs w:val="22"/>
        </w:rPr>
        <w:t>ss of all pupils is supported.</w:t>
      </w:r>
    </w:p>
    <w:p w:rsidR="009277D6" w:rsidRDefault="009277D6" w:rsidP="00613CB5">
      <w:pPr>
        <w:pStyle w:val="Default"/>
        <w:rPr>
          <w:sz w:val="22"/>
          <w:szCs w:val="22"/>
        </w:rPr>
      </w:pPr>
    </w:p>
    <w:p w:rsidR="00604B95" w:rsidRDefault="00604B95" w:rsidP="00613CB5">
      <w:pPr>
        <w:pStyle w:val="Default"/>
        <w:rPr>
          <w:sz w:val="22"/>
          <w:szCs w:val="22"/>
        </w:rPr>
      </w:pPr>
    </w:p>
    <w:p w:rsidR="009420EB" w:rsidRDefault="009420EB" w:rsidP="009420EB">
      <w:pPr>
        <w:pStyle w:val="Default"/>
        <w:rPr>
          <w:b/>
          <w:bCs/>
          <w:sz w:val="22"/>
          <w:szCs w:val="22"/>
        </w:rPr>
      </w:pPr>
      <w:r>
        <w:rPr>
          <w:b/>
          <w:bCs/>
          <w:sz w:val="22"/>
          <w:szCs w:val="22"/>
        </w:rPr>
        <w:t xml:space="preserve">All Hallows RC </w:t>
      </w:r>
      <w:r w:rsidR="007F403F">
        <w:rPr>
          <w:b/>
          <w:bCs/>
          <w:sz w:val="22"/>
          <w:szCs w:val="22"/>
        </w:rPr>
        <w:t>High School</w:t>
      </w:r>
      <w:r>
        <w:rPr>
          <w:b/>
          <w:bCs/>
          <w:sz w:val="22"/>
          <w:szCs w:val="22"/>
        </w:rPr>
        <w:t xml:space="preserve"> </w:t>
      </w:r>
    </w:p>
    <w:p w:rsidR="00613CB5" w:rsidRDefault="00613CB5" w:rsidP="00613CB5">
      <w:pPr>
        <w:pStyle w:val="Default"/>
        <w:rPr>
          <w:b/>
          <w:bCs/>
          <w:sz w:val="22"/>
          <w:szCs w:val="22"/>
        </w:rPr>
      </w:pPr>
      <w:r>
        <w:rPr>
          <w:b/>
          <w:bCs/>
          <w:sz w:val="22"/>
          <w:szCs w:val="22"/>
        </w:rPr>
        <w:t xml:space="preserve">Pupil Premium Funding </w:t>
      </w:r>
      <w:r w:rsidR="004713FE">
        <w:rPr>
          <w:b/>
          <w:bCs/>
          <w:sz w:val="22"/>
          <w:szCs w:val="22"/>
        </w:rPr>
        <w:t xml:space="preserve">Allocation  </w:t>
      </w:r>
    </w:p>
    <w:p w:rsidR="009420EB" w:rsidRDefault="009420EB" w:rsidP="00613CB5">
      <w:pPr>
        <w:pStyle w:val="Default"/>
        <w:rPr>
          <w:b/>
          <w:bCs/>
          <w:sz w:val="22"/>
          <w:szCs w:val="22"/>
        </w:rPr>
      </w:pPr>
    </w:p>
    <w:p w:rsidR="00006D97" w:rsidRPr="00E95F39" w:rsidRDefault="008E40F9" w:rsidP="00922AF2">
      <w:pPr>
        <w:pStyle w:val="Default"/>
        <w:rPr>
          <w:rFonts w:ascii="Gill Sans MT" w:hAnsi="Gill Sans MT" w:cs="Gill Sans MT"/>
          <w:sz w:val="22"/>
          <w:szCs w:val="22"/>
          <w:highlight w:val="yellow"/>
        </w:rPr>
      </w:pPr>
      <w:r>
        <w:rPr>
          <w:rFonts w:ascii="Gill Sans MT" w:hAnsi="Gill Sans MT" w:cs="Gill Sans MT"/>
          <w:sz w:val="22"/>
          <w:szCs w:val="22"/>
        </w:rPr>
        <w:t>For the financial y</w:t>
      </w:r>
      <w:r w:rsidR="00006D97">
        <w:rPr>
          <w:rFonts w:ascii="Gill Sans MT" w:hAnsi="Gill Sans MT" w:cs="Gill Sans MT"/>
          <w:sz w:val="22"/>
          <w:szCs w:val="22"/>
        </w:rPr>
        <w:t xml:space="preserve">ear </w:t>
      </w:r>
      <w:r>
        <w:rPr>
          <w:rFonts w:ascii="Gill Sans MT" w:hAnsi="Gill Sans MT" w:cs="Gill Sans MT"/>
          <w:sz w:val="22"/>
          <w:szCs w:val="22"/>
        </w:rPr>
        <w:t xml:space="preserve">April </w:t>
      </w:r>
      <w:r w:rsidR="00006D97">
        <w:rPr>
          <w:rFonts w:ascii="Gill Sans MT" w:hAnsi="Gill Sans MT" w:cs="Gill Sans MT"/>
          <w:sz w:val="22"/>
          <w:szCs w:val="22"/>
        </w:rPr>
        <w:t>201</w:t>
      </w:r>
      <w:r w:rsidR="00E95F39">
        <w:rPr>
          <w:rFonts w:ascii="Gill Sans MT" w:hAnsi="Gill Sans MT" w:cs="Gill Sans MT"/>
          <w:sz w:val="22"/>
          <w:szCs w:val="22"/>
        </w:rPr>
        <w:t>6</w:t>
      </w:r>
      <w:r w:rsidR="00006D97">
        <w:rPr>
          <w:rFonts w:ascii="Gill Sans MT" w:hAnsi="Gill Sans MT" w:cs="Gill Sans MT"/>
          <w:sz w:val="22"/>
          <w:szCs w:val="22"/>
        </w:rPr>
        <w:t xml:space="preserve"> </w:t>
      </w:r>
      <w:r>
        <w:rPr>
          <w:rFonts w:ascii="Gill Sans MT" w:hAnsi="Gill Sans MT" w:cs="Gill Sans MT"/>
          <w:sz w:val="22"/>
          <w:szCs w:val="22"/>
        </w:rPr>
        <w:t>to</w:t>
      </w:r>
      <w:r w:rsidR="00006D97">
        <w:rPr>
          <w:rFonts w:ascii="Gill Sans MT" w:hAnsi="Gill Sans MT" w:cs="Gill Sans MT"/>
          <w:sz w:val="22"/>
          <w:szCs w:val="22"/>
        </w:rPr>
        <w:t xml:space="preserve"> </w:t>
      </w:r>
      <w:r>
        <w:rPr>
          <w:rFonts w:ascii="Gill Sans MT" w:hAnsi="Gill Sans MT" w:cs="Gill Sans MT"/>
          <w:sz w:val="22"/>
          <w:szCs w:val="22"/>
        </w:rPr>
        <w:t xml:space="preserve">March </w:t>
      </w:r>
      <w:r w:rsidR="00006D97">
        <w:rPr>
          <w:rFonts w:ascii="Gill Sans MT" w:hAnsi="Gill Sans MT" w:cs="Gill Sans MT"/>
          <w:sz w:val="22"/>
          <w:szCs w:val="22"/>
        </w:rPr>
        <w:t>201</w:t>
      </w:r>
      <w:r w:rsidR="00E95F39">
        <w:rPr>
          <w:rFonts w:ascii="Gill Sans MT" w:hAnsi="Gill Sans MT" w:cs="Gill Sans MT"/>
          <w:sz w:val="22"/>
          <w:szCs w:val="22"/>
        </w:rPr>
        <w:t>7</w:t>
      </w:r>
      <w:r w:rsidR="00006D97">
        <w:rPr>
          <w:rFonts w:ascii="Gill Sans MT" w:hAnsi="Gill Sans MT" w:cs="Gill Sans MT"/>
          <w:sz w:val="22"/>
          <w:szCs w:val="22"/>
        </w:rPr>
        <w:t xml:space="preserve"> the school received </w:t>
      </w:r>
      <w:r w:rsidR="00006D97" w:rsidRPr="009801D5">
        <w:rPr>
          <w:rFonts w:ascii="Gill Sans MT" w:hAnsi="Gill Sans MT" w:cs="Gill Sans MT"/>
          <w:sz w:val="22"/>
          <w:szCs w:val="22"/>
        </w:rPr>
        <w:t>£</w:t>
      </w:r>
      <w:r w:rsidR="009801D5" w:rsidRPr="009801D5">
        <w:rPr>
          <w:rFonts w:ascii="Gill Sans MT" w:hAnsi="Gill Sans MT" w:cs="Gill Sans MT"/>
          <w:sz w:val="22"/>
          <w:szCs w:val="22"/>
        </w:rPr>
        <w:t xml:space="preserve">338,045 </w:t>
      </w:r>
      <w:r w:rsidR="00006D97" w:rsidRPr="009801D5">
        <w:rPr>
          <w:rFonts w:ascii="Gill Sans MT" w:hAnsi="Gill Sans MT" w:cs="Gill Sans MT"/>
          <w:sz w:val="22"/>
          <w:szCs w:val="22"/>
        </w:rPr>
        <w:t>for 3</w:t>
      </w:r>
      <w:r w:rsidR="00E95F39" w:rsidRPr="009801D5">
        <w:rPr>
          <w:rFonts w:ascii="Gill Sans MT" w:hAnsi="Gill Sans MT" w:cs="Gill Sans MT"/>
          <w:sz w:val="22"/>
          <w:szCs w:val="22"/>
        </w:rPr>
        <w:t>5</w:t>
      </w:r>
      <w:r w:rsidR="009801D5" w:rsidRPr="009801D5">
        <w:rPr>
          <w:rFonts w:ascii="Gill Sans MT" w:hAnsi="Gill Sans MT" w:cs="Gill Sans MT"/>
          <w:sz w:val="22"/>
          <w:szCs w:val="22"/>
        </w:rPr>
        <w:t>4</w:t>
      </w:r>
      <w:r w:rsidR="00006D97" w:rsidRPr="009801D5">
        <w:rPr>
          <w:rFonts w:ascii="Gill Sans MT" w:hAnsi="Gill Sans MT" w:cs="Gill Sans MT"/>
          <w:sz w:val="22"/>
          <w:szCs w:val="22"/>
        </w:rPr>
        <w:t xml:space="preserve"> qualifying students</w:t>
      </w:r>
      <w:r w:rsidR="009801D5">
        <w:rPr>
          <w:rFonts w:ascii="Gill Sans MT" w:hAnsi="Gill Sans MT" w:cs="Gill Sans MT"/>
          <w:sz w:val="22"/>
          <w:szCs w:val="22"/>
        </w:rPr>
        <w:t xml:space="preserve">; 346 FSM6, 5 LAC and 4 Post LAC </w:t>
      </w:r>
      <w:r w:rsidR="00894994">
        <w:rPr>
          <w:rFonts w:ascii="Gill Sans MT" w:hAnsi="Gill Sans MT" w:cs="Gill Sans MT"/>
          <w:sz w:val="22"/>
          <w:szCs w:val="22"/>
        </w:rPr>
        <w:t xml:space="preserve">students </w:t>
      </w:r>
      <w:r w:rsidR="00894994" w:rsidRPr="009801D5">
        <w:rPr>
          <w:rFonts w:ascii="Gill Sans MT" w:hAnsi="Gill Sans MT" w:cs="Gill Sans MT"/>
          <w:sz w:val="22"/>
          <w:szCs w:val="22"/>
        </w:rPr>
        <w:t>(</w:t>
      </w:r>
      <w:r w:rsidR="00E95F39" w:rsidRPr="009801D5">
        <w:rPr>
          <w:rFonts w:ascii="Gill Sans MT" w:hAnsi="Gill Sans MT" w:cs="Gill Sans MT"/>
          <w:sz w:val="22"/>
          <w:szCs w:val="22"/>
        </w:rPr>
        <w:t>5</w:t>
      </w:r>
      <w:r w:rsidR="005617EC">
        <w:rPr>
          <w:rFonts w:ascii="Gill Sans MT" w:hAnsi="Gill Sans MT" w:cs="Gill Sans MT"/>
          <w:sz w:val="22"/>
          <w:szCs w:val="22"/>
        </w:rPr>
        <w:t>8</w:t>
      </w:r>
      <w:r w:rsidR="00006D97" w:rsidRPr="009801D5">
        <w:rPr>
          <w:rFonts w:ascii="Gill Sans MT" w:hAnsi="Gill Sans MT" w:cs="Gill Sans MT"/>
          <w:sz w:val="22"/>
          <w:szCs w:val="22"/>
        </w:rPr>
        <w:t>% of the whole school cohort</w:t>
      </w:r>
      <w:r w:rsidR="005617EC">
        <w:rPr>
          <w:rFonts w:ascii="Gill Sans MT" w:hAnsi="Gill Sans MT" w:cs="Gill Sans MT"/>
          <w:sz w:val="22"/>
          <w:szCs w:val="22"/>
        </w:rPr>
        <w:t xml:space="preserve"> - 610</w:t>
      </w:r>
      <w:r w:rsidR="00006D97" w:rsidRPr="009801D5">
        <w:rPr>
          <w:rFonts w:ascii="Gill Sans MT" w:hAnsi="Gill Sans MT" w:cs="Gill Sans MT"/>
          <w:sz w:val="22"/>
          <w:szCs w:val="22"/>
        </w:rPr>
        <w:t>)</w:t>
      </w:r>
    </w:p>
    <w:p w:rsidR="008E40F9" w:rsidRDefault="008E40F9" w:rsidP="00922AF2">
      <w:pPr>
        <w:pStyle w:val="Default"/>
        <w:rPr>
          <w:rFonts w:ascii="Gill Sans MT" w:hAnsi="Gill Sans MT" w:cs="Gill Sans MT"/>
          <w:sz w:val="22"/>
          <w:szCs w:val="22"/>
        </w:rPr>
      </w:pPr>
      <w:r w:rsidRPr="009801D5">
        <w:rPr>
          <w:rFonts w:ascii="Gill Sans MT" w:hAnsi="Gill Sans MT" w:cs="Gill Sans MT"/>
          <w:sz w:val="22"/>
          <w:szCs w:val="22"/>
        </w:rPr>
        <w:t>For the financial year April 201</w:t>
      </w:r>
      <w:r w:rsidR="00E95F39" w:rsidRPr="009801D5">
        <w:rPr>
          <w:rFonts w:ascii="Gill Sans MT" w:hAnsi="Gill Sans MT" w:cs="Gill Sans MT"/>
          <w:sz w:val="22"/>
          <w:szCs w:val="22"/>
        </w:rPr>
        <w:t>7</w:t>
      </w:r>
      <w:r w:rsidRPr="009801D5">
        <w:rPr>
          <w:rFonts w:ascii="Gill Sans MT" w:hAnsi="Gill Sans MT" w:cs="Gill Sans MT"/>
          <w:sz w:val="22"/>
          <w:szCs w:val="22"/>
        </w:rPr>
        <w:t xml:space="preserve"> to March 201</w:t>
      </w:r>
      <w:r w:rsidR="00E95F39" w:rsidRPr="009801D5">
        <w:rPr>
          <w:rFonts w:ascii="Gill Sans MT" w:hAnsi="Gill Sans MT" w:cs="Gill Sans MT"/>
          <w:sz w:val="22"/>
          <w:szCs w:val="22"/>
        </w:rPr>
        <w:t>8</w:t>
      </w:r>
      <w:r w:rsidRPr="009801D5">
        <w:rPr>
          <w:rFonts w:ascii="Gill Sans MT" w:hAnsi="Gill Sans MT" w:cs="Gill Sans MT"/>
          <w:sz w:val="22"/>
          <w:szCs w:val="22"/>
        </w:rPr>
        <w:t xml:space="preserve"> the school is projected to receive £</w:t>
      </w:r>
      <w:r w:rsidR="009801D5" w:rsidRPr="009801D5">
        <w:rPr>
          <w:rFonts w:ascii="Gill Sans MT" w:hAnsi="Gill Sans MT" w:cs="Gill Sans MT"/>
          <w:sz w:val="22"/>
          <w:szCs w:val="22"/>
        </w:rPr>
        <w:t>334,530</w:t>
      </w:r>
      <w:r w:rsidRPr="009801D5">
        <w:rPr>
          <w:rFonts w:ascii="Gill Sans MT" w:hAnsi="Gill Sans MT" w:cs="Gill Sans MT"/>
          <w:sz w:val="22"/>
          <w:szCs w:val="22"/>
        </w:rPr>
        <w:t xml:space="preserve"> for 3</w:t>
      </w:r>
      <w:r w:rsidR="009801D5" w:rsidRPr="009801D5">
        <w:rPr>
          <w:rFonts w:ascii="Gill Sans MT" w:hAnsi="Gill Sans MT" w:cs="Gill Sans MT"/>
          <w:sz w:val="22"/>
          <w:szCs w:val="22"/>
        </w:rPr>
        <w:t>52</w:t>
      </w:r>
      <w:r w:rsidR="009801D5">
        <w:rPr>
          <w:rFonts w:ascii="Gill Sans MT" w:hAnsi="Gill Sans MT" w:cs="Gill Sans MT"/>
          <w:sz w:val="22"/>
          <w:szCs w:val="22"/>
        </w:rPr>
        <w:t xml:space="preserve"> qualifying students, 346 FSM6 and 6 LAC students </w:t>
      </w:r>
      <w:r w:rsidRPr="005617EC">
        <w:rPr>
          <w:rFonts w:ascii="Gill Sans MT" w:hAnsi="Gill Sans MT" w:cs="Gill Sans MT"/>
          <w:sz w:val="22"/>
          <w:szCs w:val="22"/>
        </w:rPr>
        <w:t>(5</w:t>
      </w:r>
      <w:r w:rsidR="009801D5" w:rsidRPr="005617EC">
        <w:rPr>
          <w:rFonts w:ascii="Gill Sans MT" w:hAnsi="Gill Sans MT" w:cs="Gill Sans MT"/>
          <w:sz w:val="22"/>
          <w:szCs w:val="22"/>
        </w:rPr>
        <w:t>7</w:t>
      </w:r>
      <w:r w:rsidRPr="005617EC">
        <w:rPr>
          <w:rFonts w:ascii="Gill Sans MT" w:hAnsi="Gill Sans MT" w:cs="Gill Sans MT"/>
          <w:sz w:val="22"/>
          <w:szCs w:val="22"/>
        </w:rPr>
        <w:t>% of the whole school</w:t>
      </w:r>
      <w:r>
        <w:rPr>
          <w:rFonts w:ascii="Gill Sans MT" w:hAnsi="Gill Sans MT" w:cs="Gill Sans MT"/>
          <w:sz w:val="22"/>
          <w:szCs w:val="22"/>
        </w:rPr>
        <w:t xml:space="preserve"> cohort</w:t>
      </w:r>
      <w:r w:rsidR="005617EC">
        <w:rPr>
          <w:rFonts w:ascii="Gill Sans MT" w:hAnsi="Gill Sans MT" w:cs="Gill Sans MT"/>
          <w:sz w:val="22"/>
          <w:szCs w:val="22"/>
        </w:rPr>
        <w:t xml:space="preserve"> - 616</w:t>
      </w:r>
      <w:r>
        <w:rPr>
          <w:rFonts w:ascii="Gill Sans MT" w:hAnsi="Gill Sans MT" w:cs="Gill Sans MT"/>
          <w:sz w:val="22"/>
          <w:szCs w:val="22"/>
        </w:rPr>
        <w:t>)</w:t>
      </w:r>
    </w:p>
    <w:p w:rsidR="00C81550" w:rsidRDefault="00C81550" w:rsidP="00922AF2">
      <w:pPr>
        <w:pStyle w:val="Default"/>
        <w:rPr>
          <w:rFonts w:ascii="Gill Sans MT" w:hAnsi="Gill Sans MT" w:cs="Gill Sans MT"/>
          <w:sz w:val="22"/>
          <w:szCs w:val="22"/>
        </w:rPr>
      </w:pPr>
      <w:r>
        <w:rPr>
          <w:rFonts w:ascii="Gill Sans MT" w:hAnsi="Gill Sans MT" w:cs="Gill Sans MT"/>
          <w:sz w:val="22"/>
          <w:szCs w:val="22"/>
        </w:rPr>
        <w:t xml:space="preserve">For the financial year April 2018 to March 2019 the school is projected to </w:t>
      </w:r>
      <w:r w:rsidRPr="00C96C2C">
        <w:rPr>
          <w:rFonts w:ascii="Gill Sans MT" w:hAnsi="Gill Sans MT" w:cs="Gill Sans MT"/>
          <w:sz w:val="22"/>
          <w:szCs w:val="22"/>
        </w:rPr>
        <w:t xml:space="preserve">receive £ </w:t>
      </w:r>
      <w:proofErr w:type="gramStart"/>
      <w:r w:rsidR="00C96C2C" w:rsidRPr="00C96C2C">
        <w:rPr>
          <w:rFonts w:ascii="Gill Sans MT" w:hAnsi="Gill Sans MT" w:cs="Gill Sans MT"/>
          <w:sz w:val="22"/>
          <w:szCs w:val="22"/>
        </w:rPr>
        <w:t>331,439</w:t>
      </w:r>
      <w:r w:rsidRPr="00C96C2C">
        <w:rPr>
          <w:rFonts w:ascii="Gill Sans MT" w:hAnsi="Gill Sans MT" w:cs="Gill Sans MT"/>
          <w:sz w:val="22"/>
          <w:szCs w:val="22"/>
        </w:rPr>
        <w:t xml:space="preserve">  for</w:t>
      </w:r>
      <w:proofErr w:type="gramEnd"/>
      <w:r w:rsidRPr="00C96C2C">
        <w:rPr>
          <w:rFonts w:ascii="Gill Sans MT" w:hAnsi="Gill Sans MT" w:cs="Gill Sans MT"/>
          <w:sz w:val="22"/>
          <w:szCs w:val="22"/>
        </w:rPr>
        <w:t xml:space="preserve"> 3</w:t>
      </w:r>
      <w:r w:rsidR="00C96C2C" w:rsidRPr="00C96C2C">
        <w:rPr>
          <w:rFonts w:ascii="Gill Sans MT" w:hAnsi="Gill Sans MT" w:cs="Gill Sans MT"/>
          <w:sz w:val="22"/>
          <w:szCs w:val="22"/>
        </w:rPr>
        <w:t>3</w:t>
      </w:r>
      <w:r w:rsidRPr="00C96C2C">
        <w:rPr>
          <w:rFonts w:ascii="Gill Sans MT" w:hAnsi="Gill Sans MT" w:cs="Gill Sans MT"/>
          <w:sz w:val="22"/>
          <w:szCs w:val="22"/>
        </w:rPr>
        <w:t xml:space="preserve">4 qualifying students,   </w:t>
      </w:r>
      <w:r w:rsidR="00C96C2C" w:rsidRPr="00C96C2C">
        <w:rPr>
          <w:rFonts w:ascii="Gill Sans MT" w:hAnsi="Gill Sans MT" w:cs="Gill Sans MT"/>
          <w:sz w:val="22"/>
          <w:szCs w:val="22"/>
        </w:rPr>
        <w:t xml:space="preserve">331 </w:t>
      </w:r>
      <w:r w:rsidRPr="00C96C2C">
        <w:rPr>
          <w:rFonts w:ascii="Gill Sans MT" w:hAnsi="Gill Sans MT" w:cs="Gill Sans MT"/>
          <w:sz w:val="22"/>
          <w:szCs w:val="22"/>
        </w:rPr>
        <w:t>FSM</w:t>
      </w:r>
      <w:r w:rsidR="00C96C2C" w:rsidRPr="00C96C2C">
        <w:rPr>
          <w:rFonts w:ascii="Gill Sans MT" w:hAnsi="Gill Sans MT" w:cs="Gill Sans MT"/>
          <w:sz w:val="22"/>
          <w:szCs w:val="22"/>
        </w:rPr>
        <w:t>6</w:t>
      </w:r>
      <w:r w:rsidRPr="00C96C2C">
        <w:rPr>
          <w:rFonts w:ascii="Gill Sans MT" w:hAnsi="Gill Sans MT" w:cs="Gill Sans MT"/>
          <w:sz w:val="22"/>
          <w:szCs w:val="22"/>
        </w:rPr>
        <w:t xml:space="preserve"> and 3 LAC (54% of t</w:t>
      </w:r>
      <w:r w:rsidR="00C96C2C" w:rsidRPr="00C96C2C">
        <w:rPr>
          <w:rFonts w:ascii="Gill Sans MT" w:hAnsi="Gill Sans MT" w:cs="Gill Sans MT"/>
          <w:sz w:val="22"/>
          <w:szCs w:val="22"/>
        </w:rPr>
        <w:t>h</w:t>
      </w:r>
      <w:r w:rsidRPr="00C96C2C">
        <w:rPr>
          <w:rFonts w:ascii="Gill Sans MT" w:hAnsi="Gill Sans MT" w:cs="Gill Sans MT"/>
          <w:sz w:val="22"/>
          <w:szCs w:val="22"/>
        </w:rPr>
        <w:t>e whole school cohort 622)</w:t>
      </w:r>
    </w:p>
    <w:p w:rsidR="008E40F9" w:rsidRDefault="008E40F9" w:rsidP="00922AF2">
      <w:pPr>
        <w:pStyle w:val="Default"/>
        <w:rPr>
          <w:rFonts w:ascii="Gill Sans MT" w:hAnsi="Gill Sans MT" w:cs="Gill Sans MT"/>
          <w:sz w:val="22"/>
          <w:szCs w:val="22"/>
        </w:rPr>
      </w:pPr>
    </w:p>
    <w:p w:rsidR="008E40F9" w:rsidRDefault="008E40F9" w:rsidP="00922AF2">
      <w:pPr>
        <w:pStyle w:val="Default"/>
        <w:rPr>
          <w:rFonts w:ascii="Gill Sans MT" w:hAnsi="Gill Sans MT" w:cs="Gill Sans MT"/>
          <w:sz w:val="22"/>
          <w:szCs w:val="22"/>
        </w:rPr>
      </w:pPr>
      <w:r>
        <w:rPr>
          <w:rFonts w:ascii="Gill Sans MT" w:hAnsi="Gill Sans MT" w:cs="Gill Sans MT"/>
          <w:sz w:val="22"/>
          <w:szCs w:val="22"/>
        </w:rPr>
        <w:t xml:space="preserve">For </w:t>
      </w:r>
      <w:r w:rsidR="00E95F39">
        <w:rPr>
          <w:rFonts w:ascii="Gill Sans MT" w:hAnsi="Gill Sans MT" w:cs="Gill Sans MT"/>
          <w:sz w:val="22"/>
          <w:szCs w:val="22"/>
        </w:rPr>
        <w:t>the academic Year September 201</w:t>
      </w:r>
      <w:r w:rsidR="00C81550">
        <w:rPr>
          <w:rFonts w:ascii="Gill Sans MT" w:hAnsi="Gill Sans MT" w:cs="Gill Sans MT"/>
          <w:sz w:val="22"/>
          <w:szCs w:val="22"/>
        </w:rPr>
        <w:t>7</w:t>
      </w:r>
      <w:r>
        <w:rPr>
          <w:rFonts w:ascii="Gill Sans MT" w:hAnsi="Gill Sans MT" w:cs="Gill Sans MT"/>
          <w:sz w:val="22"/>
          <w:szCs w:val="22"/>
        </w:rPr>
        <w:t xml:space="preserve"> to August 201</w:t>
      </w:r>
      <w:r w:rsidR="00C81550">
        <w:rPr>
          <w:rFonts w:ascii="Gill Sans MT" w:hAnsi="Gill Sans MT" w:cs="Gill Sans MT"/>
          <w:sz w:val="22"/>
          <w:szCs w:val="22"/>
        </w:rPr>
        <w:t>8</w:t>
      </w:r>
      <w:r>
        <w:rPr>
          <w:rFonts w:ascii="Gill Sans MT" w:hAnsi="Gill Sans MT" w:cs="Gill Sans MT"/>
          <w:sz w:val="22"/>
          <w:szCs w:val="22"/>
        </w:rPr>
        <w:t xml:space="preserve"> the school is projected to </w:t>
      </w:r>
      <w:r w:rsidR="00410637">
        <w:rPr>
          <w:rFonts w:ascii="Gill Sans MT" w:hAnsi="Gill Sans MT" w:cs="Gill Sans MT"/>
          <w:sz w:val="22"/>
          <w:szCs w:val="22"/>
        </w:rPr>
        <w:t xml:space="preserve">receive </w:t>
      </w:r>
      <w:r w:rsidR="00410637" w:rsidRPr="00C96C2C">
        <w:rPr>
          <w:rFonts w:ascii="Gill Sans MT" w:hAnsi="Gill Sans MT" w:cs="Gill Sans MT"/>
          <w:sz w:val="22"/>
          <w:szCs w:val="22"/>
        </w:rPr>
        <w:t>£</w:t>
      </w:r>
      <w:r w:rsidR="00C96C2C" w:rsidRPr="00C96C2C">
        <w:rPr>
          <w:rFonts w:ascii="Gill Sans MT" w:hAnsi="Gill Sans MT" w:cs="Gill Sans MT"/>
          <w:sz w:val="22"/>
          <w:szCs w:val="22"/>
        </w:rPr>
        <w:t>3</w:t>
      </w:r>
      <w:r w:rsidR="00C96C2C">
        <w:rPr>
          <w:rFonts w:ascii="Gill Sans MT" w:hAnsi="Gill Sans MT" w:cs="Gill Sans MT"/>
          <w:sz w:val="22"/>
          <w:szCs w:val="22"/>
        </w:rPr>
        <w:t>32,786</w:t>
      </w:r>
      <w:r w:rsidR="00FF65A5">
        <w:rPr>
          <w:rFonts w:ascii="Gill Sans MT" w:hAnsi="Gill Sans MT" w:cs="Gill Sans MT"/>
          <w:sz w:val="22"/>
          <w:szCs w:val="22"/>
        </w:rPr>
        <w:t xml:space="preserve"> in Pupil Premium related funding</w:t>
      </w:r>
    </w:p>
    <w:p w:rsidR="00006D97" w:rsidRDefault="00006D97" w:rsidP="00922AF2">
      <w:pPr>
        <w:pStyle w:val="Default"/>
        <w:rPr>
          <w:rFonts w:ascii="Gill Sans MT" w:hAnsi="Gill Sans MT" w:cs="Gill Sans MT"/>
          <w:sz w:val="22"/>
          <w:szCs w:val="22"/>
        </w:rPr>
      </w:pPr>
    </w:p>
    <w:p w:rsidR="009420EB" w:rsidRDefault="00922AF2" w:rsidP="009420EB">
      <w:pPr>
        <w:pStyle w:val="Default"/>
        <w:rPr>
          <w:rFonts w:ascii="Gill Sans MT" w:hAnsi="Gill Sans MT" w:cs="Gill Sans MT"/>
          <w:sz w:val="22"/>
          <w:szCs w:val="22"/>
        </w:rPr>
      </w:pPr>
      <w:r>
        <w:rPr>
          <w:rFonts w:ascii="Gill Sans MT" w:hAnsi="Gill Sans MT" w:cs="Gill Sans MT"/>
          <w:sz w:val="22"/>
          <w:szCs w:val="22"/>
        </w:rPr>
        <w:t xml:space="preserve">An outline of how the school has allocated funding is </w:t>
      </w:r>
      <w:r w:rsidR="00BD0E3D">
        <w:rPr>
          <w:rFonts w:ascii="Gill Sans MT" w:hAnsi="Gill Sans MT" w:cs="Gill Sans MT"/>
          <w:sz w:val="22"/>
          <w:szCs w:val="22"/>
        </w:rPr>
        <w:t xml:space="preserve">shown in the pages </w:t>
      </w:r>
      <w:r>
        <w:rPr>
          <w:rFonts w:ascii="Gill Sans MT" w:hAnsi="Gill Sans MT" w:cs="Gill Sans MT"/>
          <w:sz w:val="22"/>
          <w:szCs w:val="22"/>
        </w:rPr>
        <w:t>bel</w:t>
      </w:r>
      <w:r w:rsidR="004713FE">
        <w:rPr>
          <w:rFonts w:ascii="Gill Sans MT" w:hAnsi="Gill Sans MT" w:cs="Gill Sans MT"/>
          <w:sz w:val="22"/>
          <w:szCs w:val="22"/>
        </w:rPr>
        <w:t xml:space="preserve">ow with many of the initiatives </w:t>
      </w:r>
      <w:r>
        <w:rPr>
          <w:rFonts w:ascii="Gill Sans MT" w:hAnsi="Gill Sans MT" w:cs="Gill Sans MT"/>
          <w:sz w:val="22"/>
          <w:szCs w:val="22"/>
        </w:rPr>
        <w:t>which began in the previous year</w:t>
      </w:r>
      <w:r w:rsidR="0058296A">
        <w:rPr>
          <w:rFonts w:ascii="Gill Sans MT" w:hAnsi="Gill Sans MT" w:cs="Gill Sans MT"/>
          <w:sz w:val="22"/>
          <w:szCs w:val="22"/>
        </w:rPr>
        <w:t>(s)</w:t>
      </w:r>
      <w:r>
        <w:rPr>
          <w:rFonts w:ascii="Gill Sans MT" w:hAnsi="Gill Sans MT" w:cs="Gill Sans MT"/>
          <w:sz w:val="22"/>
          <w:szCs w:val="22"/>
        </w:rPr>
        <w:t xml:space="preserve"> continuing </w:t>
      </w:r>
      <w:r w:rsidR="004713FE">
        <w:rPr>
          <w:rFonts w:ascii="Gill Sans MT" w:hAnsi="Gill Sans MT" w:cs="Gill Sans MT"/>
          <w:sz w:val="22"/>
          <w:szCs w:val="22"/>
        </w:rPr>
        <w:t>and</w:t>
      </w:r>
      <w:r>
        <w:rPr>
          <w:rFonts w:ascii="Gill Sans MT" w:hAnsi="Gill Sans MT" w:cs="Gill Sans MT"/>
          <w:sz w:val="22"/>
          <w:szCs w:val="22"/>
        </w:rPr>
        <w:t xml:space="preserve"> new initiatives being introduced.</w:t>
      </w:r>
    </w:p>
    <w:p w:rsidR="00BD0E3D" w:rsidRDefault="00BD0E3D" w:rsidP="009420EB">
      <w:pPr>
        <w:pStyle w:val="Default"/>
        <w:rPr>
          <w:rFonts w:ascii="Gill Sans MT" w:hAnsi="Gill Sans MT" w:cs="Gill Sans MT"/>
          <w:sz w:val="22"/>
          <w:szCs w:val="22"/>
        </w:rPr>
      </w:pPr>
    </w:p>
    <w:p w:rsidR="00BD0E3D" w:rsidRDefault="00BD0E3D" w:rsidP="009420EB">
      <w:pPr>
        <w:pStyle w:val="Default"/>
        <w:rPr>
          <w:rFonts w:ascii="Gill Sans MT" w:hAnsi="Gill Sans MT" w:cs="Gill Sans MT"/>
          <w:sz w:val="22"/>
          <w:szCs w:val="22"/>
        </w:rPr>
      </w:pPr>
      <w:r>
        <w:rPr>
          <w:rFonts w:ascii="Gill Sans MT" w:hAnsi="Gill Sans MT" w:cs="Gill Sans MT"/>
          <w:sz w:val="22"/>
          <w:szCs w:val="22"/>
        </w:rPr>
        <w:t>In the academic year Sept 201</w:t>
      </w:r>
      <w:r w:rsidR="00C81550">
        <w:rPr>
          <w:rFonts w:ascii="Gill Sans MT" w:hAnsi="Gill Sans MT" w:cs="Gill Sans MT"/>
          <w:sz w:val="22"/>
          <w:szCs w:val="22"/>
        </w:rPr>
        <w:t>7</w:t>
      </w:r>
      <w:r>
        <w:rPr>
          <w:rFonts w:ascii="Gill Sans MT" w:hAnsi="Gill Sans MT" w:cs="Gill Sans MT"/>
          <w:sz w:val="22"/>
          <w:szCs w:val="22"/>
        </w:rPr>
        <w:t xml:space="preserve"> to August 201</w:t>
      </w:r>
      <w:r w:rsidR="00C81550">
        <w:rPr>
          <w:rFonts w:ascii="Gill Sans MT" w:hAnsi="Gill Sans MT" w:cs="Gill Sans MT"/>
          <w:sz w:val="22"/>
          <w:szCs w:val="22"/>
        </w:rPr>
        <w:t>8</w:t>
      </w:r>
      <w:r>
        <w:rPr>
          <w:rFonts w:ascii="Gill Sans MT" w:hAnsi="Gill Sans MT" w:cs="Gill Sans MT"/>
          <w:sz w:val="22"/>
          <w:szCs w:val="22"/>
        </w:rPr>
        <w:t xml:space="preserve"> the</w:t>
      </w:r>
      <w:r w:rsidR="007F4ECC">
        <w:rPr>
          <w:rFonts w:ascii="Gill Sans MT" w:hAnsi="Gill Sans MT" w:cs="Gill Sans MT"/>
          <w:sz w:val="22"/>
          <w:szCs w:val="22"/>
        </w:rPr>
        <w:t xml:space="preserve">re were </w:t>
      </w:r>
      <w:r w:rsidR="007F4ECC" w:rsidRPr="005617EC">
        <w:rPr>
          <w:rFonts w:ascii="Gill Sans MT" w:hAnsi="Gill Sans MT" w:cs="Gill Sans MT"/>
          <w:sz w:val="22"/>
          <w:szCs w:val="22"/>
        </w:rPr>
        <w:t>11</w:t>
      </w:r>
      <w:r w:rsidR="00C81550">
        <w:rPr>
          <w:rFonts w:ascii="Gill Sans MT" w:hAnsi="Gill Sans MT" w:cs="Gill Sans MT"/>
          <w:sz w:val="22"/>
          <w:szCs w:val="22"/>
        </w:rPr>
        <w:t>4</w:t>
      </w:r>
      <w:r w:rsidRPr="005617EC">
        <w:rPr>
          <w:rFonts w:ascii="Gill Sans MT" w:hAnsi="Gill Sans MT" w:cs="Gill Sans MT"/>
          <w:sz w:val="22"/>
          <w:szCs w:val="22"/>
        </w:rPr>
        <w:t xml:space="preserve"> students</w:t>
      </w:r>
      <w:r>
        <w:rPr>
          <w:rFonts w:ascii="Gill Sans MT" w:hAnsi="Gill Sans MT" w:cs="Gill Sans MT"/>
          <w:sz w:val="22"/>
          <w:szCs w:val="22"/>
        </w:rPr>
        <w:t xml:space="preserve"> on roll </w:t>
      </w:r>
      <w:r w:rsidR="007F4ECC">
        <w:rPr>
          <w:rFonts w:ascii="Gill Sans MT" w:hAnsi="Gill Sans MT" w:cs="Gill Sans MT"/>
          <w:sz w:val="22"/>
          <w:szCs w:val="22"/>
        </w:rPr>
        <w:t>in Year 11.</w:t>
      </w:r>
    </w:p>
    <w:p w:rsidR="007F4ECC" w:rsidRDefault="007F4ECC" w:rsidP="009420EB">
      <w:pPr>
        <w:pStyle w:val="Default"/>
        <w:rPr>
          <w:rFonts w:ascii="Gill Sans MT" w:hAnsi="Gill Sans MT" w:cs="Gill Sans MT"/>
          <w:sz w:val="22"/>
          <w:szCs w:val="22"/>
        </w:rPr>
      </w:pPr>
    </w:p>
    <w:p w:rsidR="00BD0E3D" w:rsidRDefault="00BD0E3D" w:rsidP="009420EB">
      <w:pPr>
        <w:pStyle w:val="Default"/>
        <w:rPr>
          <w:sz w:val="22"/>
          <w:szCs w:val="22"/>
        </w:rPr>
      </w:pPr>
      <w:r w:rsidRPr="00C96C2C">
        <w:rPr>
          <w:rFonts w:ascii="Gill Sans MT" w:hAnsi="Gill Sans MT" w:cs="Gill Sans MT"/>
          <w:sz w:val="22"/>
          <w:szCs w:val="22"/>
        </w:rPr>
        <w:t>5</w:t>
      </w:r>
      <w:r w:rsidR="00C96C2C">
        <w:rPr>
          <w:rFonts w:ascii="Gill Sans MT" w:hAnsi="Gill Sans MT" w:cs="Gill Sans MT"/>
          <w:sz w:val="22"/>
          <w:szCs w:val="22"/>
        </w:rPr>
        <w:t>3</w:t>
      </w:r>
      <w:r w:rsidRPr="00C96C2C">
        <w:rPr>
          <w:rFonts w:ascii="Gill Sans MT" w:hAnsi="Gill Sans MT" w:cs="Gill Sans MT"/>
          <w:sz w:val="22"/>
          <w:szCs w:val="22"/>
        </w:rPr>
        <w:t>%</w:t>
      </w:r>
      <w:r w:rsidRPr="00334F6F">
        <w:rPr>
          <w:rFonts w:ascii="Gill Sans MT" w:hAnsi="Gill Sans MT" w:cs="Gill Sans MT"/>
          <w:sz w:val="22"/>
          <w:szCs w:val="22"/>
        </w:rPr>
        <w:t xml:space="preserve"> of</w:t>
      </w:r>
      <w:r>
        <w:rPr>
          <w:rFonts w:ascii="Gill Sans MT" w:hAnsi="Gill Sans MT" w:cs="Gill Sans MT"/>
          <w:sz w:val="22"/>
          <w:szCs w:val="22"/>
        </w:rPr>
        <w:t xml:space="preserve"> the year group were Pupil Premium eligible</w:t>
      </w:r>
    </w:p>
    <w:p w:rsidR="00305C60" w:rsidRDefault="00305C60" w:rsidP="009420EB">
      <w:pPr>
        <w:pStyle w:val="Default"/>
        <w:rPr>
          <w:sz w:val="22"/>
          <w:szCs w:val="22"/>
        </w:rPr>
      </w:pPr>
    </w:p>
    <w:p w:rsidR="00710B7A" w:rsidRDefault="00710B7A" w:rsidP="009420EB">
      <w:pPr>
        <w:pStyle w:val="Default"/>
        <w:rPr>
          <w:sz w:val="22"/>
          <w:szCs w:val="22"/>
        </w:rPr>
      </w:pPr>
    </w:p>
    <w:p w:rsidR="00710B7A" w:rsidRDefault="00710B7A" w:rsidP="009420EB">
      <w:pPr>
        <w:pStyle w:val="Default"/>
        <w:rPr>
          <w:sz w:val="22"/>
          <w:szCs w:val="22"/>
        </w:rPr>
      </w:pPr>
    </w:p>
    <w:p w:rsidR="00710B7A" w:rsidRDefault="00710B7A" w:rsidP="009420EB">
      <w:pPr>
        <w:pStyle w:val="Default"/>
        <w:rPr>
          <w:sz w:val="22"/>
          <w:szCs w:val="22"/>
        </w:rPr>
      </w:pPr>
    </w:p>
    <w:p w:rsidR="00710B7A" w:rsidRDefault="00710B7A" w:rsidP="009420EB">
      <w:pPr>
        <w:pStyle w:val="Default"/>
        <w:rPr>
          <w:sz w:val="22"/>
          <w:szCs w:val="22"/>
        </w:rPr>
      </w:pPr>
    </w:p>
    <w:p w:rsidR="00710B7A" w:rsidRDefault="00710B7A" w:rsidP="009420EB">
      <w:pPr>
        <w:pStyle w:val="Default"/>
        <w:rPr>
          <w:sz w:val="22"/>
          <w:szCs w:val="22"/>
        </w:rPr>
      </w:pPr>
    </w:p>
    <w:p w:rsidR="00921612" w:rsidRDefault="00921612" w:rsidP="00710B7A">
      <w:pPr>
        <w:pStyle w:val="Default"/>
        <w:rPr>
          <w:b/>
          <w:sz w:val="32"/>
          <w:szCs w:val="32"/>
        </w:rPr>
      </w:pPr>
    </w:p>
    <w:p w:rsidR="00921612" w:rsidRDefault="00921612" w:rsidP="00710B7A">
      <w:pPr>
        <w:pStyle w:val="Default"/>
        <w:rPr>
          <w:b/>
          <w:sz w:val="32"/>
          <w:szCs w:val="32"/>
        </w:rPr>
      </w:pPr>
    </w:p>
    <w:p w:rsidR="00710B7A" w:rsidRPr="00921612" w:rsidRDefault="00710B7A" w:rsidP="00710B7A">
      <w:pPr>
        <w:pStyle w:val="Default"/>
        <w:rPr>
          <w:b/>
          <w:sz w:val="32"/>
          <w:szCs w:val="32"/>
        </w:rPr>
      </w:pPr>
      <w:r w:rsidRPr="00921612">
        <w:rPr>
          <w:b/>
          <w:sz w:val="32"/>
          <w:szCs w:val="32"/>
        </w:rPr>
        <w:t>Impact from Pupil Premium Funded Initiatives</w:t>
      </w:r>
    </w:p>
    <w:p w:rsidR="00BE6781" w:rsidRDefault="00BE6781" w:rsidP="00710B7A">
      <w:pPr>
        <w:pStyle w:val="Default"/>
        <w:rPr>
          <w:b/>
          <w:sz w:val="28"/>
          <w:szCs w:val="28"/>
        </w:rPr>
      </w:pPr>
    </w:p>
    <w:p w:rsidR="00710B7A" w:rsidRDefault="00710B7A" w:rsidP="00710B7A">
      <w:pPr>
        <w:pStyle w:val="Default"/>
        <w:rPr>
          <w:sz w:val="20"/>
          <w:szCs w:val="20"/>
        </w:rPr>
      </w:pPr>
    </w:p>
    <w:p w:rsidR="00710B7A" w:rsidRPr="00921612" w:rsidRDefault="003B1692" w:rsidP="00710B7A">
      <w:pPr>
        <w:pStyle w:val="Default"/>
      </w:pPr>
      <w:r w:rsidRPr="00921612">
        <w:t xml:space="preserve">In recent years the </w:t>
      </w:r>
      <w:r w:rsidR="00710B7A" w:rsidRPr="00921612">
        <w:t xml:space="preserve">figures in terms of 5A*-C (including English and Maths) show that the gap between Pupil Premium eligible students and Non Pupil Premium eligible students at All Hallows RC has narrowed from 32.8% in 2013, 20.8% in 2014, 19.6% in 2015 to 11% in 2016.  </w:t>
      </w:r>
    </w:p>
    <w:p w:rsidR="003B1692" w:rsidRPr="00921612" w:rsidRDefault="003B1692" w:rsidP="00710B7A">
      <w:pPr>
        <w:pStyle w:val="Default"/>
        <w:rPr>
          <w:highlight w:val="yellow"/>
        </w:rPr>
      </w:pPr>
    </w:p>
    <w:p w:rsidR="003B1692" w:rsidRDefault="003B1692" w:rsidP="00710B7A">
      <w:pPr>
        <w:pStyle w:val="Default"/>
        <w:rPr>
          <w:color w:val="auto"/>
          <w:spacing w:val="6"/>
          <w:shd w:val="clear" w:color="auto" w:fill="FFFFFF"/>
        </w:rPr>
      </w:pPr>
      <w:r w:rsidRPr="00921612">
        <w:rPr>
          <w:color w:val="auto"/>
          <w:spacing w:val="6"/>
          <w:shd w:val="clear" w:color="auto" w:fill="FFFFFF"/>
        </w:rPr>
        <w:t>Due to new qualification assessment grades and point scores for exams, this data is no longe</w:t>
      </w:r>
      <w:r w:rsidR="004B6871">
        <w:rPr>
          <w:color w:val="auto"/>
          <w:spacing w:val="6"/>
          <w:shd w:val="clear" w:color="auto" w:fill="FFFFFF"/>
        </w:rPr>
        <w:t xml:space="preserve">r comparable between year groups. </w:t>
      </w:r>
    </w:p>
    <w:p w:rsidR="004B6871" w:rsidRPr="00921612" w:rsidRDefault="004B6871" w:rsidP="00710B7A">
      <w:pPr>
        <w:pStyle w:val="Default"/>
        <w:rPr>
          <w:highlight w:val="yellow"/>
        </w:rPr>
      </w:pPr>
    </w:p>
    <w:p w:rsidR="004B6871" w:rsidRPr="00C12D91" w:rsidRDefault="004B6871" w:rsidP="004B6871">
      <w:pPr>
        <w:pStyle w:val="Default"/>
      </w:pPr>
      <w:r w:rsidRPr="00C12D91">
        <w:rPr>
          <w:b/>
        </w:rPr>
        <w:t>Progress 8</w:t>
      </w:r>
      <w:r w:rsidRPr="00C12D91">
        <w:t xml:space="preserve"> (2015-16) – All Pupils 0.00    PP eligible pupils -0.21 and Non PP eligible pupils +0.31</w:t>
      </w:r>
    </w:p>
    <w:p w:rsidR="004B6871" w:rsidRPr="00C12D91" w:rsidRDefault="004B6871" w:rsidP="004B6871">
      <w:pPr>
        <w:pStyle w:val="Default"/>
      </w:pPr>
      <w:r w:rsidRPr="00C12D91">
        <w:rPr>
          <w:b/>
        </w:rPr>
        <w:t>Progress 8</w:t>
      </w:r>
      <w:r w:rsidRPr="00C12D91">
        <w:t xml:space="preserve"> (2016-17) – All Pupils -0.01   PP eligible pupils -0.032 and Non PP eligible pupils +0.023</w:t>
      </w:r>
    </w:p>
    <w:p w:rsidR="00710B7A" w:rsidRPr="005E3D3C" w:rsidRDefault="004B6871" w:rsidP="00710B7A">
      <w:pPr>
        <w:pStyle w:val="Default"/>
      </w:pPr>
      <w:r w:rsidRPr="00C12D91">
        <w:rPr>
          <w:b/>
        </w:rPr>
        <w:t>Progress 8</w:t>
      </w:r>
      <w:r w:rsidRPr="00C12D91">
        <w:t xml:space="preserve"> (2017-18) </w:t>
      </w:r>
      <w:r w:rsidR="005E3D3C">
        <w:t xml:space="preserve">– All </w:t>
      </w:r>
      <w:proofErr w:type="gramStart"/>
      <w:r w:rsidR="005E3D3C">
        <w:t>pupils  0.151</w:t>
      </w:r>
      <w:proofErr w:type="gramEnd"/>
      <w:r w:rsidR="005E3D3C">
        <w:t xml:space="preserve">  </w:t>
      </w:r>
      <w:r w:rsidR="005E3D3C" w:rsidRPr="005E3D3C">
        <w:rPr>
          <w:b/>
        </w:rPr>
        <w:t>Attainment 8</w:t>
      </w:r>
      <w:r w:rsidR="005E3D3C" w:rsidRPr="005E3D3C">
        <w:t xml:space="preserve"> (2017-18) </w:t>
      </w:r>
      <w:r w:rsidR="005E3D3C">
        <w:t xml:space="preserve">All pupils </w:t>
      </w:r>
      <w:r w:rsidR="005E3D3C" w:rsidRPr="005E3D3C">
        <w:t>44.89</w:t>
      </w:r>
    </w:p>
    <w:p w:rsidR="005E3D3C" w:rsidRPr="00C12D91" w:rsidRDefault="005E3D3C" w:rsidP="00710B7A">
      <w:pPr>
        <w:pStyle w:val="Default"/>
      </w:pPr>
    </w:p>
    <w:p w:rsidR="005E3D3C" w:rsidRDefault="00710B7A" w:rsidP="00710B7A">
      <w:pPr>
        <w:pStyle w:val="Default"/>
      </w:pPr>
      <w:r w:rsidRPr="00C12D91">
        <w:rPr>
          <w:b/>
        </w:rPr>
        <w:t xml:space="preserve">In Mathematics:  </w:t>
      </w:r>
      <w:r w:rsidRPr="00C12D91">
        <w:t>The gap in attainment between PP eligible students and Non PP eligible students has narrowed from 14.6% in 2014 to 10% in 2016</w:t>
      </w:r>
      <w:r w:rsidR="003B1692" w:rsidRPr="00C12D91">
        <w:t>, in 2017 PP eligible students at All Hallows out</w:t>
      </w:r>
      <w:r w:rsidR="00921612" w:rsidRPr="00C12D91">
        <w:t xml:space="preserve"> </w:t>
      </w:r>
      <w:r w:rsidR="003B1692" w:rsidRPr="00C12D91">
        <w:t>performed Non PP eligible students (64.4 against 62.3 respectively)</w:t>
      </w:r>
      <w:r w:rsidR="00C12D91">
        <w:t xml:space="preserve">, </w:t>
      </w:r>
    </w:p>
    <w:p w:rsidR="00710B7A" w:rsidRPr="00C12D91" w:rsidRDefault="005E3D3C" w:rsidP="00710B7A">
      <w:pPr>
        <w:pStyle w:val="Default"/>
      </w:pPr>
      <w:r>
        <w:t>I</w:t>
      </w:r>
      <w:r w:rsidR="00C12D91">
        <w:t>n 201</w:t>
      </w:r>
      <w:r>
        <w:t>7</w:t>
      </w:r>
      <w:r w:rsidR="00C12D91">
        <w:t xml:space="preserve"> </w:t>
      </w:r>
      <w:r>
        <w:t>63.4% of students achieved 4+</w:t>
      </w:r>
      <w:r w:rsidR="00C12D91">
        <w:t xml:space="preserve"> </w:t>
      </w:r>
      <w:r>
        <w:t>in maths in 2018 the figure dropped slightly to 59.1%.</w:t>
      </w:r>
      <w:r w:rsidR="00C12D91">
        <w:t xml:space="preserve">   </w:t>
      </w:r>
      <w:r w:rsidR="003B1692" w:rsidRPr="00C12D91">
        <w:t xml:space="preserve"> </w:t>
      </w:r>
    </w:p>
    <w:p w:rsidR="003B1692" w:rsidRPr="00C12D91" w:rsidRDefault="003B1692" w:rsidP="003B1692">
      <w:pPr>
        <w:pStyle w:val="Default"/>
        <w:rPr>
          <w:b/>
        </w:rPr>
      </w:pPr>
    </w:p>
    <w:p w:rsidR="003B1692" w:rsidRPr="00C12D91" w:rsidRDefault="003B1692" w:rsidP="003B1692">
      <w:pPr>
        <w:pStyle w:val="Default"/>
      </w:pPr>
      <w:r w:rsidRPr="00C12D91">
        <w:rPr>
          <w:b/>
        </w:rPr>
        <w:t xml:space="preserve">In English: </w:t>
      </w:r>
      <w:r w:rsidRPr="00C12D91">
        <w:t xml:space="preserve">The gap in attainment between PP eligible students and Non PP eligible students </w:t>
      </w:r>
      <w:r w:rsidR="0005760E" w:rsidRPr="00C12D91">
        <w:t xml:space="preserve">narrowed </w:t>
      </w:r>
      <w:r w:rsidRPr="00C12D91">
        <w:t>from 12.6% in 2014 to 6% in 2016, however in 2017 we have seen an increase in the gap between PP eligible students and Non PP eligible students (49.2 against 60.4 respectively)</w:t>
      </w:r>
      <w:r w:rsidR="005E3D3C">
        <w:t>. I</w:t>
      </w:r>
      <w:r w:rsidR="00C12D91">
        <w:t>n 201</w:t>
      </w:r>
      <w:r w:rsidR="005E3D3C">
        <w:t>7</w:t>
      </w:r>
      <w:r w:rsidR="00C12D91">
        <w:t xml:space="preserve"> </w:t>
      </w:r>
      <w:r w:rsidR="005E3D3C">
        <w:t>54.5% of students achieved 4+ in English, in 2018 the figure increased significantly to 71.8%.</w:t>
      </w:r>
    </w:p>
    <w:p w:rsidR="00C81550" w:rsidRPr="00C12D91" w:rsidRDefault="00C81550" w:rsidP="003B1692">
      <w:pPr>
        <w:pStyle w:val="Default"/>
      </w:pPr>
    </w:p>
    <w:p w:rsidR="00921612" w:rsidRPr="00C12D91" w:rsidRDefault="003B1692" w:rsidP="003B1692">
      <w:pPr>
        <w:pStyle w:val="Default"/>
        <w:rPr>
          <w:sz w:val="20"/>
          <w:szCs w:val="20"/>
        </w:rPr>
      </w:pPr>
      <w:r w:rsidRPr="00C12D91">
        <w:t xml:space="preserve">The Individual initiatives and their impact for students </w:t>
      </w:r>
      <w:r w:rsidR="00921612" w:rsidRPr="00C12D91">
        <w:t>are</w:t>
      </w:r>
      <w:r w:rsidRPr="00C12D91">
        <w:t xml:space="preserve"> detailed in the table below</w:t>
      </w:r>
    </w:p>
    <w:p w:rsidR="00921612" w:rsidRPr="00C81550" w:rsidRDefault="00921612" w:rsidP="003B1692">
      <w:pPr>
        <w:pStyle w:val="Default"/>
        <w:rPr>
          <w:sz w:val="20"/>
          <w:szCs w:val="20"/>
          <w:highlight w:val="yellow"/>
        </w:rPr>
      </w:pPr>
    </w:p>
    <w:p w:rsidR="009420EB" w:rsidRDefault="003B1692" w:rsidP="003B1692">
      <w:pPr>
        <w:pStyle w:val="Default"/>
        <w:rPr>
          <w:b/>
          <w:bCs/>
          <w:sz w:val="36"/>
          <w:szCs w:val="36"/>
        </w:rPr>
      </w:pPr>
      <w:r>
        <w:rPr>
          <w:sz w:val="20"/>
          <w:szCs w:val="20"/>
        </w:rPr>
        <w:br w:type="page"/>
      </w:r>
      <w:r w:rsidR="009420EB">
        <w:rPr>
          <w:b/>
          <w:bCs/>
          <w:sz w:val="36"/>
          <w:szCs w:val="36"/>
        </w:rPr>
        <w:lastRenderedPageBreak/>
        <w:t>Pupil Premium Funded Initiatives 201</w:t>
      </w:r>
      <w:r w:rsidR="00C81550">
        <w:rPr>
          <w:b/>
          <w:bCs/>
          <w:sz w:val="36"/>
          <w:szCs w:val="36"/>
        </w:rPr>
        <w:t>7</w:t>
      </w:r>
      <w:r w:rsidR="009420EB">
        <w:rPr>
          <w:b/>
          <w:bCs/>
          <w:sz w:val="36"/>
          <w:szCs w:val="36"/>
        </w:rPr>
        <w:t xml:space="preserve"> – 201</w:t>
      </w:r>
      <w:r w:rsidR="00C81550">
        <w:rPr>
          <w:b/>
          <w:bCs/>
          <w:sz w:val="36"/>
          <w:szCs w:val="36"/>
        </w:rPr>
        <w:t>8</w:t>
      </w:r>
      <w:r w:rsidR="00BD0E3D">
        <w:rPr>
          <w:b/>
          <w:bCs/>
          <w:sz w:val="36"/>
          <w:szCs w:val="36"/>
        </w:rPr>
        <w:t xml:space="preserve"> </w:t>
      </w:r>
      <w:r>
        <w:rPr>
          <w:b/>
          <w:bCs/>
          <w:sz w:val="36"/>
          <w:szCs w:val="36"/>
        </w:rPr>
        <w:t xml:space="preserve"> </w:t>
      </w:r>
    </w:p>
    <w:p w:rsidR="004F5545" w:rsidRDefault="004F5545" w:rsidP="008E40F9">
      <w:pPr>
        <w:pStyle w:val="Default"/>
        <w:ind w:hanging="709"/>
        <w:rPr>
          <w:b/>
          <w:bCs/>
          <w:sz w:val="36"/>
          <w:szCs w:val="36"/>
        </w:rPr>
      </w:pPr>
    </w:p>
    <w:p w:rsidR="00613CB5" w:rsidRDefault="00613CB5" w:rsidP="00613CB5">
      <w:pPr>
        <w:rPr>
          <w:sz w:val="22"/>
          <w:szCs w:val="22"/>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261"/>
        <w:gridCol w:w="3827"/>
        <w:gridCol w:w="1559"/>
        <w:gridCol w:w="3119"/>
      </w:tblGrid>
      <w:tr w:rsidR="0057620B" w:rsidTr="00C47757">
        <w:tblPrEx>
          <w:tblCellMar>
            <w:top w:w="0" w:type="dxa"/>
            <w:bottom w:w="0" w:type="dxa"/>
          </w:tblCellMar>
        </w:tblPrEx>
        <w:trPr>
          <w:trHeight w:val="316"/>
        </w:trPr>
        <w:tc>
          <w:tcPr>
            <w:tcW w:w="2988" w:type="dxa"/>
            <w:tcBorders>
              <w:bottom w:val="single" w:sz="4" w:space="0" w:color="auto"/>
            </w:tcBorders>
          </w:tcPr>
          <w:p w:rsidR="0057620B" w:rsidRPr="003903D4" w:rsidRDefault="0057620B" w:rsidP="0057620B">
            <w:pPr>
              <w:pStyle w:val="Default"/>
              <w:jc w:val="center"/>
              <w:rPr>
                <w:b/>
                <w:bCs/>
                <w:sz w:val="28"/>
                <w:szCs w:val="28"/>
              </w:rPr>
            </w:pPr>
            <w:r>
              <w:rPr>
                <w:b/>
                <w:bCs/>
                <w:sz w:val="28"/>
                <w:szCs w:val="28"/>
              </w:rPr>
              <w:t>Item/Project</w:t>
            </w:r>
          </w:p>
        </w:tc>
        <w:tc>
          <w:tcPr>
            <w:tcW w:w="3261" w:type="dxa"/>
            <w:tcBorders>
              <w:bottom w:val="single" w:sz="4" w:space="0" w:color="auto"/>
            </w:tcBorders>
          </w:tcPr>
          <w:p w:rsidR="0057620B" w:rsidRPr="003903D4" w:rsidRDefault="0057620B" w:rsidP="0057620B">
            <w:pPr>
              <w:pStyle w:val="Default"/>
              <w:jc w:val="center"/>
              <w:rPr>
                <w:b/>
                <w:sz w:val="28"/>
                <w:szCs w:val="28"/>
              </w:rPr>
            </w:pPr>
            <w:r w:rsidRPr="003903D4">
              <w:rPr>
                <w:b/>
                <w:bCs/>
                <w:sz w:val="28"/>
                <w:szCs w:val="28"/>
              </w:rPr>
              <w:t>Resource Allocation</w:t>
            </w:r>
          </w:p>
        </w:tc>
        <w:tc>
          <w:tcPr>
            <w:tcW w:w="3827" w:type="dxa"/>
            <w:tcBorders>
              <w:bottom w:val="single" w:sz="4" w:space="0" w:color="auto"/>
            </w:tcBorders>
          </w:tcPr>
          <w:p w:rsidR="0057620B" w:rsidRPr="003903D4" w:rsidRDefault="0057620B" w:rsidP="0057620B">
            <w:pPr>
              <w:pStyle w:val="Default"/>
              <w:jc w:val="center"/>
              <w:rPr>
                <w:b/>
                <w:sz w:val="28"/>
                <w:szCs w:val="28"/>
              </w:rPr>
            </w:pPr>
            <w:r>
              <w:rPr>
                <w:b/>
                <w:bCs/>
                <w:sz w:val="28"/>
                <w:szCs w:val="28"/>
              </w:rPr>
              <w:t>Objective</w:t>
            </w:r>
          </w:p>
        </w:tc>
        <w:tc>
          <w:tcPr>
            <w:tcW w:w="1559" w:type="dxa"/>
            <w:tcBorders>
              <w:bottom w:val="single" w:sz="4" w:space="0" w:color="auto"/>
            </w:tcBorders>
          </w:tcPr>
          <w:p w:rsidR="0057620B" w:rsidRPr="003903D4" w:rsidRDefault="0057620B" w:rsidP="0057620B">
            <w:pPr>
              <w:pStyle w:val="Default"/>
              <w:jc w:val="center"/>
              <w:rPr>
                <w:b/>
                <w:sz w:val="28"/>
                <w:szCs w:val="28"/>
              </w:rPr>
            </w:pPr>
            <w:r>
              <w:rPr>
                <w:b/>
                <w:sz w:val="28"/>
                <w:szCs w:val="28"/>
              </w:rPr>
              <w:t xml:space="preserve">Budget </w:t>
            </w:r>
            <w:r w:rsidRPr="003903D4">
              <w:rPr>
                <w:b/>
                <w:sz w:val="28"/>
                <w:szCs w:val="28"/>
              </w:rPr>
              <w:t>Allocation</w:t>
            </w:r>
          </w:p>
        </w:tc>
        <w:tc>
          <w:tcPr>
            <w:tcW w:w="3119" w:type="dxa"/>
            <w:tcBorders>
              <w:bottom w:val="single" w:sz="4" w:space="0" w:color="auto"/>
            </w:tcBorders>
          </w:tcPr>
          <w:p w:rsidR="0057620B" w:rsidRPr="003903D4" w:rsidRDefault="0057620B" w:rsidP="0057620B">
            <w:pPr>
              <w:pStyle w:val="Default"/>
              <w:jc w:val="center"/>
              <w:rPr>
                <w:b/>
                <w:sz w:val="28"/>
                <w:szCs w:val="28"/>
              </w:rPr>
            </w:pPr>
            <w:r>
              <w:rPr>
                <w:b/>
                <w:sz w:val="28"/>
                <w:szCs w:val="28"/>
              </w:rPr>
              <w:t>Impact</w:t>
            </w:r>
          </w:p>
        </w:tc>
      </w:tr>
      <w:tr w:rsidR="0057620B" w:rsidTr="00C47757">
        <w:tblPrEx>
          <w:tblCellMar>
            <w:top w:w="0" w:type="dxa"/>
            <w:bottom w:w="0" w:type="dxa"/>
          </w:tblCellMar>
        </w:tblPrEx>
        <w:trPr>
          <w:trHeight w:val="316"/>
        </w:trPr>
        <w:tc>
          <w:tcPr>
            <w:tcW w:w="14754" w:type="dxa"/>
            <w:gridSpan w:val="5"/>
            <w:shd w:val="clear" w:color="auto" w:fill="BFBFBF"/>
          </w:tcPr>
          <w:p w:rsidR="0057620B" w:rsidRPr="0057620B" w:rsidRDefault="00056674" w:rsidP="0057620B">
            <w:pPr>
              <w:pStyle w:val="Default"/>
              <w:rPr>
                <w:b/>
                <w:sz w:val="28"/>
                <w:szCs w:val="28"/>
              </w:rPr>
            </w:pPr>
            <w:r>
              <w:rPr>
                <w:b/>
                <w:sz w:val="28"/>
                <w:szCs w:val="28"/>
              </w:rPr>
              <w:t>Curriculum</w:t>
            </w:r>
          </w:p>
        </w:tc>
      </w:tr>
      <w:tr w:rsidR="0057620B" w:rsidRPr="00613CB5" w:rsidTr="00C47757">
        <w:tblPrEx>
          <w:tblCellMar>
            <w:top w:w="0" w:type="dxa"/>
            <w:bottom w:w="0" w:type="dxa"/>
          </w:tblCellMar>
        </w:tblPrEx>
        <w:trPr>
          <w:trHeight w:val="1036"/>
        </w:trPr>
        <w:tc>
          <w:tcPr>
            <w:tcW w:w="2988" w:type="dxa"/>
          </w:tcPr>
          <w:p w:rsidR="004F5545" w:rsidRDefault="004F5545" w:rsidP="00A038B8">
            <w:pPr>
              <w:pStyle w:val="Default"/>
              <w:rPr>
                <w:sz w:val="20"/>
                <w:szCs w:val="20"/>
              </w:rPr>
            </w:pPr>
          </w:p>
          <w:p w:rsidR="0057620B" w:rsidRDefault="0057620B" w:rsidP="00334F6F">
            <w:pPr>
              <w:pStyle w:val="Default"/>
              <w:rPr>
                <w:sz w:val="20"/>
                <w:szCs w:val="20"/>
              </w:rPr>
            </w:pPr>
            <w:r>
              <w:rPr>
                <w:sz w:val="20"/>
                <w:szCs w:val="20"/>
              </w:rPr>
              <w:t xml:space="preserve">Ensure the curriculum delivery strategy can be realised for all students </w:t>
            </w:r>
            <w:r w:rsidR="00334F6F">
              <w:rPr>
                <w:sz w:val="20"/>
                <w:szCs w:val="20"/>
              </w:rPr>
              <w:t>by keeping class sizes small</w:t>
            </w:r>
          </w:p>
        </w:tc>
        <w:tc>
          <w:tcPr>
            <w:tcW w:w="3261" w:type="dxa"/>
          </w:tcPr>
          <w:p w:rsidR="004F5545" w:rsidRDefault="004F5545" w:rsidP="00AE42A4">
            <w:pPr>
              <w:pStyle w:val="Default"/>
              <w:rPr>
                <w:sz w:val="20"/>
                <w:szCs w:val="20"/>
              </w:rPr>
            </w:pPr>
          </w:p>
          <w:p w:rsidR="0057620B" w:rsidRDefault="0057620B" w:rsidP="00AE42A4">
            <w:pPr>
              <w:pStyle w:val="Default"/>
              <w:rPr>
                <w:sz w:val="20"/>
                <w:szCs w:val="20"/>
              </w:rPr>
            </w:pPr>
            <w:r>
              <w:rPr>
                <w:sz w:val="20"/>
                <w:szCs w:val="20"/>
              </w:rPr>
              <w:t xml:space="preserve">3 x </w:t>
            </w:r>
            <w:r w:rsidR="00C568D5">
              <w:rPr>
                <w:sz w:val="20"/>
                <w:szCs w:val="20"/>
              </w:rPr>
              <w:t>Core subject</w:t>
            </w:r>
            <w:r>
              <w:rPr>
                <w:sz w:val="20"/>
                <w:szCs w:val="20"/>
              </w:rPr>
              <w:t xml:space="preserve"> teachers </w:t>
            </w:r>
          </w:p>
          <w:p w:rsidR="0057620B" w:rsidRDefault="0057620B" w:rsidP="00AE42A4">
            <w:pPr>
              <w:pStyle w:val="Default"/>
              <w:rPr>
                <w:sz w:val="20"/>
                <w:szCs w:val="20"/>
              </w:rPr>
            </w:pPr>
          </w:p>
          <w:p w:rsidR="0057620B" w:rsidRPr="00613CB5" w:rsidRDefault="00C568D5" w:rsidP="00C568D5">
            <w:pPr>
              <w:pStyle w:val="Default"/>
              <w:rPr>
                <w:sz w:val="20"/>
                <w:szCs w:val="20"/>
              </w:rPr>
            </w:pPr>
            <w:r>
              <w:rPr>
                <w:sz w:val="20"/>
                <w:szCs w:val="20"/>
              </w:rPr>
              <w:t xml:space="preserve">TA support of PP eligible pupils </w:t>
            </w:r>
          </w:p>
        </w:tc>
        <w:tc>
          <w:tcPr>
            <w:tcW w:w="3827" w:type="dxa"/>
          </w:tcPr>
          <w:p w:rsidR="004F5545" w:rsidRDefault="004F5545" w:rsidP="00AE42A4">
            <w:pPr>
              <w:pStyle w:val="Default"/>
              <w:rPr>
                <w:sz w:val="20"/>
                <w:szCs w:val="20"/>
              </w:rPr>
            </w:pPr>
          </w:p>
          <w:p w:rsidR="0057620B" w:rsidRDefault="0057620B" w:rsidP="00AE42A4">
            <w:pPr>
              <w:pStyle w:val="Default"/>
              <w:rPr>
                <w:sz w:val="20"/>
                <w:szCs w:val="20"/>
              </w:rPr>
            </w:pPr>
            <w:r>
              <w:rPr>
                <w:sz w:val="20"/>
                <w:szCs w:val="20"/>
              </w:rPr>
              <w:t xml:space="preserve">To </w:t>
            </w:r>
            <w:r w:rsidR="00C81550">
              <w:rPr>
                <w:sz w:val="20"/>
                <w:szCs w:val="20"/>
              </w:rPr>
              <w:t>diminish the attainment gap</w:t>
            </w:r>
            <w:r>
              <w:rPr>
                <w:sz w:val="20"/>
                <w:szCs w:val="20"/>
              </w:rPr>
              <w:t xml:space="preserve"> between PP and Non PP eligible students in school and nationally </w:t>
            </w:r>
          </w:p>
          <w:p w:rsidR="0057620B" w:rsidRDefault="0057620B" w:rsidP="00AE42A4">
            <w:pPr>
              <w:pStyle w:val="Default"/>
              <w:rPr>
                <w:sz w:val="20"/>
                <w:szCs w:val="20"/>
              </w:rPr>
            </w:pPr>
          </w:p>
          <w:p w:rsidR="0057620B" w:rsidRDefault="0057620B" w:rsidP="00AE42A4">
            <w:pPr>
              <w:pStyle w:val="Default"/>
              <w:rPr>
                <w:sz w:val="20"/>
                <w:szCs w:val="20"/>
              </w:rPr>
            </w:pPr>
            <w:r>
              <w:rPr>
                <w:sz w:val="20"/>
                <w:szCs w:val="20"/>
              </w:rPr>
              <w:t xml:space="preserve">Funding allows the small class size curriculum delivery strategy adopted by the school to be deployed for the benefit of all students. </w:t>
            </w:r>
          </w:p>
        </w:tc>
        <w:tc>
          <w:tcPr>
            <w:tcW w:w="1559" w:type="dxa"/>
          </w:tcPr>
          <w:p w:rsidR="0057620B" w:rsidRDefault="0057620B" w:rsidP="00FB4201">
            <w:pPr>
              <w:pStyle w:val="Default"/>
              <w:rPr>
                <w:sz w:val="20"/>
                <w:szCs w:val="20"/>
              </w:rPr>
            </w:pPr>
          </w:p>
          <w:p w:rsidR="0057620B" w:rsidRDefault="0057620B" w:rsidP="007F30DB">
            <w:pPr>
              <w:pStyle w:val="Default"/>
              <w:rPr>
                <w:sz w:val="20"/>
                <w:szCs w:val="20"/>
              </w:rPr>
            </w:pPr>
            <w:r w:rsidRPr="007F30DB">
              <w:rPr>
                <w:sz w:val="20"/>
                <w:szCs w:val="20"/>
              </w:rPr>
              <w:t>£</w:t>
            </w:r>
            <w:r w:rsidR="007F30DB" w:rsidRPr="007F30DB">
              <w:rPr>
                <w:sz w:val="20"/>
                <w:szCs w:val="20"/>
              </w:rPr>
              <w:t>155,684</w:t>
            </w:r>
          </w:p>
        </w:tc>
        <w:tc>
          <w:tcPr>
            <w:tcW w:w="3119" w:type="dxa"/>
          </w:tcPr>
          <w:p w:rsidR="0057620B" w:rsidRDefault="0057620B" w:rsidP="00FB4201">
            <w:pPr>
              <w:pStyle w:val="Default"/>
              <w:rPr>
                <w:sz w:val="20"/>
                <w:szCs w:val="20"/>
              </w:rPr>
            </w:pPr>
          </w:p>
          <w:p w:rsidR="0057620B" w:rsidRDefault="00C568D5" w:rsidP="00FB4201">
            <w:pPr>
              <w:pStyle w:val="Default"/>
              <w:rPr>
                <w:sz w:val="20"/>
                <w:szCs w:val="20"/>
              </w:rPr>
            </w:pPr>
            <w:r>
              <w:rPr>
                <w:sz w:val="20"/>
                <w:szCs w:val="20"/>
              </w:rPr>
              <w:t xml:space="preserve">Positive outcomes for </w:t>
            </w:r>
            <w:proofErr w:type="gramStart"/>
            <w:r>
              <w:rPr>
                <w:sz w:val="20"/>
                <w:szCs w:val="20"/>
              </w:rPr>
              <w:t>pupils</w:t>
            </w:r>
            <w:proofErr w:type="gramEnd"/>
            <w:r>
              <w:rPr>
                <w:sz w:val="20"/>
                <w:szCs w:val="20"/>
              </w:rPr>
              <w:t xml:space="preserve"> </w:t>
            </w:r>
            <w:r w:rsidR="0057620B">
              <w:rPr>
                <w:sz w:val="20"/>
                <w:szCs w:val="20"/>
              </w:rPr>
              <w:t xml:space="preserve">overtime. </w:t>
            </w:r>
          </w:p>
          <w:p w:rsidR="0057620B" w:rsidRDefault="0057620B" w:rsidP="00FB4201">
            <w:pPr>
              <w:pStyle w:val="Default"/>
              <w:rPr>
                <w:sz w:val="20"/>
                <w:szCs w:val="20"/>
              </w:rPr>
            </w:pPr>
          </w:p>
          <w:p w:rsidR="00147111" w:rsidRDefault="00147111" w:rsidP="00FB4201">
            <w:pPr>
              <w:pStyle w:val="Default"/>
              <w:rPr>
                <w:sz w:val="20"/>
                <w:szCs w:val="20"/>
              </w:rPr>
            </w:pPr>
            <w:r>
              <w:rPr>
                <w:sz w:val="20"/>
                <w:szCs w:val="20"/>
              </w:rPr>
              <w:t>Positive impacts for PP eligible pupils have been seen in Maths</w:t>
            </w:r>
            <w:r w:rsidR="00921612">
              <w:rPr>
                <w:sz w:val="20"/>
                <w:szCs w:val="20"/>
              </w:rPr>
              <w:t xml:space="preserve"> and Sciences</w:t>
            </w:r>
            <w:r>
              <w:rPr>
                <w:sz w:val="20"/>
                <w:szCs w:val="20"/>
              </w:rPr>
              <w:t>.</w:t>
            </w:r>
            <w:r w:rsidR="00C81550">
              <w:rPr>
                <w:sz w:val="20"/>
                <w:szCs w:val="20"/>
              </w:rPr>
              <w:t xml:space="preserve">  </w:t>
            </w:r>
          </w:p>
          <w:p w:rsidR="00147111" w:rsidRDefault="00147111" w:rsidP="00FB4201">
            <w:pPr>
              <w:pStyle w:val="Default"/>
              <w:rPr>
                <w:sz w:val="20"/>
                <w:szCs w:val="20"/>
              </w:rPr>
            </w:pPr>
          </w:p>
          <w:p w:rsidR="0057620B" w:rsidRDefault="0057620B" w:rsidP="00C81550">
            <w:pPr>
              <w:pStyle w:val="Default"/>
              <w:rPr>
                <w:sz w:val="20"/>
                <w:szCs w:val="20"/>
              </w:rPr>
            </w:pPr>
          </w:p>
        </w:tc>
      </w:tr>
      <w:tr w:rsidR="00C81550" w:rsidRPr="00613CB5" w:rsidTr="00C47757">
        <w:tblPrEx>
          <w:tblCellMar>
            <w:top w:w="0" w:type="dxa"/>
            <w:bottom w:w="0" w:type="dxa"/>
          </w:tblCellMar>
        </w:tblPrEx>
        <w:trPr>
          <w:trHeight w:val="1036"/>
        </w:trPr>
        <w:tc>
          <w:tcPr>
            <w:tcW w:w="2988" w:type="dxa"/>
          </w:tcPr>
          <w:p w:rsidR="00C81550" w:rsidRDefault="00C81550" w:rsidP="00C81550">
            <w:pPr>
              <w:pStyle w:val="Default"/>
              <w:rPr>
                <w:sz w:val="20"/>
                <w:szCs w:val="20"/>
              </w:rPr>
            </w:pPr>
          </w:p>
          <w:p w:rsidR="00C81550" w:rsidRDefault="00C81550" w:rsidP="00C81550">
            <w:pPr>
              <w:pStyle w:val="Default"/>
              <w:rPr>
                <w:sz w:val="20"/>
                <w:szCs w:val="20"/>
              </w:rPr>
            </w:pPr>
            <w:r>
              <w:rPr>
                <w:sz w:val="20"/>
                <w:szCs w:val="20"/>
              </w:rPr>
              <w:t>Following a dip in the English results in 2016-17 this area was made a focus for 2017-18</w:t>
            </w:r>
          </w:p>
          <w:p w:rsidR="00C81550" w:rsidRDefault="00C81550" w:rsidP="00AE73B7">
            <w:pPr>
              <w:pStyle w:val="Default"/>
              <w:rPr>
                <w:sz w:val="20"/>
                <w:szCs w:val="20"/>
              </w:rPr>
            </w:pPr>
          </w:p>
        </w:tc>
        <w:tc>
          <w:tcPr>
            <w:tcW w:w="3261" w:type="dxa"/>
          </w:tcPr>
          <w:p w:rsidR="00C81550" w:rsidRDefault="00C81550" w:rsidP="00AE73B7">
            <w:pPr>
              <w:pStyle w:val="Default"/>
              <w:rPr>
                <w:sz w:val="20"/>
                <w:szCs w:val="20"/>
              </w:rPr>
            </w:pPr>
          </w:p>
          <w:p w:rsidR="00C81550" w:rsidRDefault="00C81550" w:rsidP="00C81550">
            <w:pPr>
              <w:pStyle w:val="Default"/>
              <w:rPr>
                <w:sz w:val="20"/>
                <w:szCs w:val="20"/>
              </w:rPr>
            </w:pPr>
            <w:r>
              <w:rPr>
                <w:sz w:val="20"/>
                <w:szCs w:val="20"/>
              </w:rPr>
              <w:t>Subject improvement plan</w:t>
            </w:r>
            <w:r w:rsidR="00D856A2">
              <w:rPr>
                <w:sz w:val="20"/>
                <w:szCs w:val="20"/>
              </w:rPr>
              <w:t xml:space="preserve"> </w:t>
            </w:r>
            <w:r w:rsidR="004B6871">
              <w:rPr>
                <w:sz w:val="20"/>
                <w:szCs w:val="20"/>
              </w:rPr>
              <w:t>redesign</w:t>
            </w:r>
            <w:r>
              <w:rPr>
                <w:sz w:val="20"/>
                <w:szCs w:val="20"/>
              </w:rPr>
              <w:t xml:space="preserve"> supported by </w:t>
            </w:r>
            <w:r w:rsidR="004B6871">
              <w:rPr>
                <w:sz w:val="20"/>
                <w:szCs w:val="20"/>
              </w:rPr>
              <w:t>Senior Leader</w:t>
            </w:r>
            <w:r>
              <w:rPr>
                <w:sz w:val="20"/>
                <w:szCs w:val="20"/>
              </w:rPr>
              <w:t xml:space="preserve">, </w:t>
            </w:r>
            <w:r w:rsidR="00D856A2">
              <w:rPr>
                <w:sz w:val="20"/>
                <w:szCs w:val="20"/>
              </w:rPr>
              <w:t xml:space="preserve">focussed </w:t>
            </w:r>
            <w:r>
              <w:rPr>
                <w:sz w:val="20"/>
                <w:szCs w:val="20"/>
              </w:rPr>
              <w:t>staff training</w:t>
            </w:r>
            <w:r w:rsidR="00D856A2">
              <w:rPr>
                <w:sz w:val="20"/>
                <w:szCs w:val="20"/>
              </w:rPr>
              <w:t xml:space="preserve"> took </w:t>
            </w:r>
            <w:proofErr w:type="gramStart"/>
            <w:r w:rsidR="00D856A2">
              <w:rPr>
                <w:sz w:val="20"/>
                <w:szCs w:val="20"/>
              </w:rPr>
              <w:t>place</w:t>
            </w:r>
            <w:r>
              <w:rPr>
                <w:sz w:val="20"/>
                <w:szCs w:val="20"/>
              </w:rPr>
              <w:t>,</w:t>
            </w:r>
            <w:proofErr w:type="gramEnd"/>
            <w:r>
              <w:rPr>
                <w:sz w:val="20"/>
                <w:szCs w:val="20"/>
              </w:rPr>
              <w:t xml:space="preserve"> lesson plan</w:t>
            </w:r>
            <w:r w:rsidR="004B6871">
              <w:rPr>
                <w:sz w:val="20"/>
                <w:szCs w:val="20"/>
              </w:rPr>
              <w:t>s were</w:t>
            </w:r>
            <w:r>
              <w:rPr>
                <w:sz w:val="20"/>
                <w:szCs w:val="20"/>
              </w:rPr>
              <w:t xml:space="preserve"> review</w:t>
            </w:r>
            <w:r w:rsidR="004B6871">
              <w:rPr>
                <w:sz w:val="20"/>
                <w:szCs w:val="20"/>
              </w:rPr>
              <w:t>ed</w:t>
            </w:r>
            <w:r>
              <w:rPr>
                <w:sz w:val="20"/>
                <w:szCs w:val="20"/>
              </w:rPr>
              <w:t xml:space="preserve"> and redraft</w:t>
            </w:r>
            <w:r w:rsidR="004B6871">
              <w:rPr>
                <w:sz w:val="20"/>
                <w:szCs w:val="20"/>
              </w:rPr>
              <w:t>ed</w:t>
            </w:r>
            <w:r>
              <w:rPr>
                <w:sz w:val="20"/>
                <w:szCs w:val="20"/>
              </w:rPr>
              <w:t xml:space="preserve">.  </w:t>
            </w:r>
            <w:r w:rsidR="004B6871">
              <w:rPr>
                <w:sz w:val="20"/>
                <w:szCs w:val="20"/>
              </w:rPr>
              <w:t>In depth d</w:t>
            </w:r>
            <w:r>
              <w:rPr>
                <w:sz w:val="20"/>
                <w:szCs w:val="20"/>
              </w:rPr>
              <w:t xml:space="preserve">ata analysis </w:t>
            </w:r>
            <w:r w:rsidR="004B6871">
              <w:rPr>
                <w:sz w:val="20"/>
                <w:szCs w:val="20"/>
              </w:rPr>
              <w:t xml:space="preserve">helped to understand </w:t>
            </w:r>
            <w:r w:rsidR="00D856A2">
              <w:rPr>
                <w:sz w:val="20"/>
                <w:szCs w:val="20"/>
              </w:rPr>
              <w:t>individual and group</w:t>
            </w:r>
            <w:r>
              <w:rPr>
                <w:sz w:val="20"/>
                <w:szCs w:val="20"/>
              </w:rPr>
              <w:t xml:space="preserve"> development</w:t>
            </w:r>
            <w:r w:rsidR="00D856A2">
              <w:rPr>
                <w:sz w:val="20"/>
                <w:szCs w:val="20"/>
              </w:rPr>
              <w:t xml:space="preserve"> needs</w:t>
            </w:r>
            <w:r>
              <w:rPr>
                <w:sz w:val="20"/>
                <w:szCs w:val="20"/>
              </w:rPr>
              <w:t>.</w:t>
            </w:r>
          </w:p>
          <w:p w:rsidR="00C81550" w:rsidRDefault="00C81550" w:rsidP="00C81550">
            <w:pPr>
              <w:pStyle w:val="Default"/>
              <w:rPr>
                <w:sz w:val="20"/>
                <w:szCs w:val="20"/>
              </w:rPr>
            </w:pPr>
          </w:p>
        </w:tc>
        <w:tc>
          <w:tcPr>
            <w:tcW w:w="3827" w:type="dxa"/>
          </w:tcPr>
          <w:p w:rsidR="00C81550" w:rsidRDefault="00C81550" w:rsidP="00AE73B7">
            <w:pPr>
              <w:pStyle w:val="Default"/>
              <w:rPr>
                <w:sz w:val="20"/>
                <w:szCs w:val="20"/>
              </w:rPr>
            </w:pPr>
          </w:p>
          <w:p w:rsidR="00C81550" w:rsidRDefault="00C81550" w:rsidP="00C81550">
            <w:pPr>
              <w:pStyle w:val="Default"/>
              <w:rPr>
                <w:sz w:val="20"/>
                <w:szCs w:val="20"/>
              </w:rPr>
            </w:pPr>
            <w:r>
              <w:rPr>
                <w:sz w:val="20"/>
                <w:szCs w:val="20"/>
              </w:rPr>
              <w:t>To raise the outcomes for students in English and to diminish the gap between cohorts through focussed intervention.</w:t>
            </w:r>
            <w:r w:rsidR="00D856A2">
              <w:rPr>
                <w:sz w:val="20"/>
                <w:szCs w:val="20"/>
              </w:rPr>
              <w:t xml:space="preserve"> </w:t>
            </w:r>
          </w:p>
          <w:p w:rsidR="00D856A2" w:rsidRDefault="00D856A2" w:rsidP="00C81550">
            <w:pPr>
              <w:pStyle w:val="Default"/>
              <w:rPr>
                <w:sz w:val="20"/>
                <w:szCs w:val="20"/>
              </w:rPr>
            </w:pPr>
          </w:p>
        </w:tc>
        <w:tc>
          <w:tcPr>
            <w:tcW w:w="1559" w:type="dxa"/>
          </w:tcPr>
          <w:p w:rsidR="00C81550" w:rsidRDefault="00C81550" w:rsidP="00AE73B7">
            <w:pPr>
              <w:pStyle w:val="Default"/>
              <w:rPr>
                <w:sz w:val="20"/>
                <w:szCs w:val="20"/>
                <w:highlight w:val="yellow"/>
              </w:rPr>
            </w:pPr>
          </w:p>
          <w:p w:rsidR="00C81550" w:rsidRPr="00334F6F" w:rsidRDefault="007F30DB" w:rsidP="00AE73B7">
            <w:pPr>
              <w:pStyle w:val="Default"/>
              <w:rPr>
                <w:sz w:val="20"/>
                <w:szCs w:val="20"/>
                <w:highlight w:val="yellow"/>
              </w:rPr>
            </w:pPr>
            <w:r w:rsidRPr="007F30DB">
              <w:rPr>
                <w:sz w:val="20"/>
                <w:szCs w:val="20"/>
              </w:rPr>
              <w:t>£9,800</w:t>
            </w:r>
          </w:p>
        </w:tc>
        <w:tc>
          <w:tcPr>
            <w:tcW w:w="3119" w:type="dxa"/>
          </w:tcPr>
          <w:p w:rsidR="00C81550" w:rsidRDefault="00C81550" w:rsidP="00AE73B7">
            <w:pPr>
              <w:pStyle w:val="Default"/>
              <w:rPr>
                <w:sz w:val="20"/>
                <w:szCs w:val="20"/>
              </w:rPr>
            </w:pPr>
          </w:p>
          <w:p w:rsidR="00C81550" w:rsidRDefault="00C81550" w:rsidP="00C81550">
            <w:pPr>
              <w:pStyle w:val="Default"/>
              <w:rPr>
                <w:sz w:val="20"/>
                <w:szCs w:val="20"/>
              </w:rPr>
            </w:pPr>
            <w:r>
              <w:rPr>
                <w:sz w:val="20"/>
                <w:szCs w:val="20"/>
              </w:rPr>
              <w:t>An increase in the attainment achieved by students in English at summer 2018</w:t>
            </w:r>
            <w:r w:rsidR="00D856A2">
              <w:rPr>
                <w:sz w:val="20"/>
                <w:szCs w:val="20"/>
              </w:rPr>
              <w:t xml:space="preserve">.  </w:t>
            </w:r>
          </w:p>
        </w:tc>
      </w:tr>
      <w:tr w:rsidR="0006322E" w:rsidRPr="00613CB5" w:rsidTr="00C47757">
        <w:tblPrEx>
          <w:tblCellMar>
            <w:top w:w="0" w:type="dxa"/>
            <w:bottom w:w="0" w:type="dxa"/>
          </w:tblCellMar>
        </w:tblPrEx>
        <w:trPr>
          <w:trHeight w:val="1036"/>
        </w:trPr>
        <w:tc>
          <w:tcPr>
            <w:tcW w:w="2988" w:type="dxa"/>
          </w:tcPr>
          <w:p w:rsidR="004F5545" w:rsidRDefault="004F5545" w:rsidP="00AE73B7">
            <w:pPr>
              <w:pStyle w:val="Default"/>
              <w:rPr>
                <w:sz w:val="20"/>
                <w:szCs w:val="20"/>
              </w:rPr>
            </w:pPr>
          </w:p>
          <w:p w:rsidR="0006322E" w:rsidRDefault="0006322E" w:rsidP="00C81550">
            <w:pPr>
              <w:pStyle w:val="Default"/>
              <w:rPr>
                <w:sz w:val="20"/>
                <w:szCs w:val="20"/>
              </w:rPr>
            </w:pPr>
            <w:r>
              <w:rPr>
                <w:sz w:val="20"/>
                <w:szCs w:val="20"/>
              </w:rPr>
              <w:t>Maintain focus on</w:t>
            </w:r>
            <w:r w:rsidRPr="00613CB5">
              <w:rPr>
                <w:sz w:val="20"/>
                <w:szCs w:val="20"/>
              </w:rPr>
              <w:t xml:space="preserve"> </w:t>
            </w:r>
            <w:r w:rsidR="00C81550">
              <w:rPr>
                <w:sz w:val="20"/>
                <w:szCs w:val="20"/>
              </w:rPr>
              <w:t>diminishing the gap</w:t>
            </w:r>
            <w:r w:rsidRPr="00613CB5">
              <w:rPr>
                <w:sz w:val="20"/>
                <w:szCs w:val="20"/>
              </w:rPr>
              <w:t>, in terms</w:t>
            </w:r>
            <w:r>
              <w:rPr>
                <w:sz w:val="20"/>
                <w:szCs w:val="20"/>
              </w:rPr>
              <w:t xml:space="preserve"> of attainment and progress, for pupils who do not have English as their first Language. Work focuses </w:t>
            </w:r>
            <w:r w:rsidRPr="00613CB5">
              <w:rPr>
                <w:sz w:val="20"/>
                <w:szCs w:val="20"/>
              </w:rPr>
              <w:t xml:space="preserve">across the Curriculum Programme, with extended focus on </w:t>
            </w:r>
            <w:r>
              <w:rPr>
                <w:sz w:val="20"/>
                <w:szCs w:val="20"/>
              </w:rPr>
              <w:t>KS3</w:t>
            </w:r>
            <w:r w:rsidRPr="00613CB5">
              <w:rPr>
                <w:sz w:val="20"/>
                <w:szCs w:val="20"/>
              </w:rPr>
              <w:t xml:space="preserve"> students in preparation for GCSE examinations.</w:t>
            </w:r>
          </w:p>
        </w:tc>
        <w:tc>
          <w:tcPr>
            <w:tcW w:w="3261" w:type="dxa"/>
          </w:tcPr>
          <w:p w:rsidR="004F5545" w:rsidRDefault="004F5545" w:rsidP="00AE73B7">
            <w:pPr>
              <w:pStyle w:val="Default"/>
              <w:rPr>
                <w:sz w:val="20"/>
                <w:szCs w:val="20"/>
              </w:rPr>
            </w:pPr>
          </w:p>
          <w:p w:rsidR="0006322E" w:rsidRPr="00613CB5" w:rsidRDefault="0006322E" w:rsidP="00AE73B7">
            <w:pPr>
              <w:pStyle w:val="Default"/>
              <w:rPr>
                <w:sz w:val="20"/>
                <w:szCs w:val="20"/>
              </w:rPr>
            </w:pPr>
            <w:r w:rsidRPr="00613CB5">
              <w:rPr>
                <w:sz w:val="20"/>
                <w:szCs w:val="20"/>
              </w:rPr>
              <w:t>Employment</w:t>
            </w:r>
            <w:r>
              <w:rPr>
                <w:sz w:val="20"/>
                <w:szCs w:val="20"/>
              </w:rPr>
              <w:t>/deployment</w:t>
            </w:r>
            <w:r w:rsidRPr="00613CB5">
              <w:rPr>
                <w:sz w:val="20"/>
                <w:szCs w:val="20"/>
              </w:rPr>
              <w:t xml:space="preserve"> of </w:t>
            </w:r>
            <w:r>
              <w:rPr>
                <w:sz w:val="20"/>
                <w:szCs w:val="20"/>
              </w:rPr>
              <w:t>specialist tutors</w:t>
            </w:r>
            <w:r w:rsidRPr="00613CB5">
              <w:rPr>
                <w:sz w:val="20"/>
                <w:szCs w:val="20"/>
              </w:rPr>
              <w:t xml:space="preserve"> </w:t>
            </w:r>
            <w:r>
              <w:rPr>
                <w:sz w:val="20"/>
                <w:szCs w:val="20"/>
              </w:rPr>
              <w:t xml:space="preserve">and staff </w:t>
            </w:r>
            <w:r w:rsidRPr="00613CB5">
              <w:rPr>
                <w:sz w:val="20"/>
                <w:szCs w:val="20"/>
              </w:rPr>
              <w:t>to pr</w:t>
            </w:r>
            <w:r>
              <w:rPr>
                <w:sz w:val="20"/>
                <w:szCs w:val="20"/>
              </w:rPr>
              <w:t xml:space="preserve">ovide bespoke support </w:t>
            </w:r>
            <w:r w:rsidRPr="00613CB5">
              <w:rPr>
                <w:sz w:val="20"/>
                <w:szCs w:val="20"/>
              </w:rPr>
              <w:t>for targeted</w:t>
            </w:r>
            <w:r>
              <w:rPr>
                <w:sz w:val="20"/>
                <w:szCs w:val="20"/>
              </w:rPr>
              <w:t xml:space="preserve"> EAL </w:t>
            </w:r>
            <w:r w:rsidRPr="00613CB5">
              <w:rPr>
                <w:sz w:val="20"/>
                <w:szCs w:val="20"/>
              </w:rPr>
              <w:t xml:space="preserve">students </w:t>
            </w:r>
          </w:p>
          <w:p w:rsidR="0006322E" w:rsidRDefault="0006322E" w:rsidP="00AE73B7">
            <w:pPr>
              <w:pStyle w:val="Default"/>
              <w:rPr>
                <w:sz w:val="20"/>
                <w:szCs w:val="20"/>
              </w:rPr>
            </w:pPr>
          </w:p>
          <w:p w:rsidR="0006322E" w:rsidRDefault="0006322E" w:rsidP="00AE73B7">
            <w:pPr>
              <w:pStyle w:val="Default"/>
              <w:rPr>
                <w:sz w:val="20"/>
                <w:szCs w:val="20"/>
              </w:rPr>
            </w:pPr>
            <w:r>
              <w:rPr>
                <w:sz w:val="20"/>
                <w:szCs w:val="20"/>
              </w:rPr>
              <w:t xml:space="preserve">EMTAS tutor </w:t>
            </w:r>
          </w:p>
          <w:p w:rsidR="0006322E" w:rsidRDefault="0006322E" w:rsidP="00AE73B7">
            <w:pPr>
              <w:pStyle w:val="Default"/>
              <w:rPr>
                <w:sz w:val="20"/>
                <w:szCs w:val="20"/>
              </w:rPr>
            </w:pPr>
            <w:r>
              <w:rPr>
                <w:sz w:val="20"/>
                <w:szCs w:val="20"/>
              </w:rPr>
              <w:t xml:space="preserve"> </w:t>
            </w:r>
          </w:p>
          <w:p w:rsidR="0006322E" w:rsidRDefault="0006322E" w:rsidP="00AE73B7">
            <w:pPr>
              <w:pStyle w:val="Default"/>
              <w:rPr>
                <w:sz w:val="20"/>
                <w:szCs w:val="20"/>
              </w:rPr>
            </w:pPr>
            <w:r>
              <w:rPr>
                <w:sz w:val="20"/>
                <w:szCs w:val="20"/>
              </w:rPr>
              <w:t>Employed staff member with EAL support responsibilities</w:t>
            </w:r>
          </w:p>
          <w:p w:rsidR="0006322E" w:rsidRPr="00613CB5" w:rsidRDefault="0006322E" w:rsidP="00AE73B7">
            <w:pPr>
              <w:pStyle w:val="Default"/>
              <w:rPr>
                <w:sz w:val="20"/>
                <w:szCs w:val="20"/>
              </w:rPr>
            </w:pPr>
          </w:p>
        </w:tc>
        <w:tc>
          <w:tcPr>
            <w:tcW w:w="3827" w:type="dxa"/>
          </w:tcPr>
          <w:p w:rsidR="004F5545" w:rsidRDefault="004F5545" w:rsidP="00AE73B7">
            <w:pPr>
              <w:pStyle w:val="Default"/>
              <w:rPr>
                <w:sz w:val="20"/>
                <w:szCs w:val="20"/>
              </w:rPr>
            </w:pPr>
          </w:p>
          <w:p w:rsidR="0006322E" w:rsidRDefault="0006322E" w:rsidP="00334F6F">
            <w:pPr>
              <w:pStyle w:val="Default"/>
              <w:rPr>
                <w:sz w:val="20"/>
                <w:szCs w:val="20"/>
              </w:rPr>
            </w:pPr>
            <w:r>
              <w:rPr>
                <w:sz w:val="20"/>
                <w:szCs w:val="20"/>
              </w:rPr>
              <w:t>F</w:t>
            </w:r>
            <w:r w:rsidRPr="00613CB5">
              <w:rPr>
                <w:sz w:val="20"/>
                <w:szCs w:val="20"/>
              </w:rPr>
              <w:t xml:space="preserve">unding </w:t>
            </w:r>
            <w:r>
              <w:rPr>
                <w:sz w:val="20"/>
                <w:szCs w:val="20"/>
              </w:rPr>
              <w:t xml:space="preserve">has been used </w:t>
            </w:r>
            <w:r w:rsidRPr="00613CB5">
              <w:rPr>
                <w:sz w:val="20"/>
                <w:szCs w:val="20"/>
              </w:rPr>
              <w:t xml:space="preserve">to </w:t>
            </w:r>
            <w:r>
              <w:rPr>
                <w:sz w:val="20"/>
                <w:szCs w:val="20"/>
              </w:rPr>
              <w:t>focus on the individual needs of EAL students and continues the work begun in previous year</w:t>
            </w:r>
            <w:r w:rsidR="00334F6F">
              <w:rPr>
                <w:sz w:val="20"/>
                <w:szCs w:val="20"/>
              </w:rPr>
              <w:t>s</w:t>
            </w:r>
            <w:r>
              <w:rPr>
                <w:sz w:val="20"/>
                <w:szCs w:val="20"/>
              </w:rPr>
              <w:t xml:space="preserve"> around an </w:t>
            </w:r>
            <w:r w:rsidRPr="00613CB5">
              <w:rPr>
                <w:sz w:val="20"/>
                <w:szCs w:val="20"/>
              </w:rPr>
              <w:t xml:space="preserve">increase </w:t>
            </w:r>
            <w:r>
              <w:rPr>
                <w:sz w:val="20"/>
                <w:szCs w:val="20"/>
              </w:rPr>
              <w:t xml:space="preserve">in </w:t>
            </w:r>
            <w:r w:rsidRPr="00613CB5">
              <w:rPr>
                <w:sz w:val="20"/>
                <w:szCs w:val="20"/>
              </w:rPr>
              <w:t xml:space="preserve">the level of mentoring in this </w:t>
            </w:r>
            <w:r>
              <w:rPr>
                <w:sz w:val="20"/>
                <w:szCs w:val="20"/>
              </w:rPr>
              <w:t xml:space="preserve">important </w:t>
            </w:r>
            <w:r w:rsidRPr="00613CB5">
              <w:rPr>
                <w:sz w:val="20"/>
                <w:szCs w:val="20"/>
              </w:rPr>
              <w:t>area</w:t>
            </w:r>
            <w:r>
              <w:rPr>
                <w:sz w:val="20"/>
                <w:szCs w:val="20"/>
              </w:rPr>
              <w:t>.</w:t>
            </w:r>
            <w:r w:rsidRPr="00613CB5">
              <w:rPr>
                <w:sz w:val="20"/>
                <w:szCs w:val="20"/>
              </w:rPr>
              <w:t xml:space="preserve"> </w:t>
            </w:r>
          </w:p>
          <w:p w:rsidR="00C81550" w:rsidRDefault="00C81550" w:rsidP="00334F6F">
            <w:pPr>
              <w:pStyle w:val="Default"/>
              <w:rPr>
                <w:sz w:val="20"/>
                <w:szCs w:val="20"/>
              </w:rPr>
            </w:pPr>
          </w:p>
          <w:p w:rsidR="00C81550" w:rsidRPr="00613CB5" w:rsidRDefault="00C81550" w:rsidP="00334F6F">
            <w:pPr>
              <w:pStyle w:val="Default"/>
              <w:rPr>
                <w:sz w:val="20"/>
                <w:szCs w:val="20"/>
              </w:rPr>
            </w:pPr>
          </w:p>
        </w:tc>
        <w:tc>
          <w:tcPr>
            <w:tcW w:w="1559" w:type="dxa"/>
          </w:tcPr>
          <w:p w:rsidR="0006322E" w:rsidRPr="00334F6F" w:rsidRDefault="0006322E" w:rsidP="00AE73B7">
            <w:pPr>
              <w:pStyle w:val="Default"/>
              <w:rPr>
                <w:sz w:val="20"/>
                <w:szCs w:val="20"/>
                <w:highlight w:val="yellow"/>
              </w:rPr>
            </w:pPr>
          </w:p>
          <w:p w:rsidR="0006322E" w:rsidRPr="00334F6F" w:rsidRDefault="0006322E" w:rsidP="007F30DB">
            <w:pPr>
              <w:pStyle w:val="Default"/>
              <w:rPr>
                <w:sz w:val="20"/>
                <w:szCs w:val="20"/>
                <w:highlight w:val="yellow"/>
              </w:rPr>
            </w:pPr>
            <w:r w:rsidRPr="007F30DB">
              <w:rPr>
                <w:sz w:val="20"/>
                <w:szCs w:val="20"/>
              </w:rPr>
              <w:t>£</w:t>
            </w:r>
            <w:r w:rsidR="007F30DB" w:rsidRPr="007F30DB">
              <w:rPr>
                <w:sz w:val="20"/>
                <w:szCs w:val="20"/>
              </w:rPr>
              <w:t>24,929</w:t>
            </w:r>
          </w:p>
        </w:tc>
        <w:tc>
          <w:tcPr>
            <w:tcW w:w="3119" w:type="dxa"/>
          </w:tcPr>
          <w:p w:rsidR="0006322E" w:rsidRDefault="0006322E" w:rsidP="00AE73B7">
            <w:pPr>
              <w:pStyle w:val="Default"/>
              <w:rPr>
                <w:sz w:val="20"/>
                <w:szCs w:val="20"/>
              </w:rPr>
            </w:pPr>
          </w:p>
        </w:tc>
      </w:tr>
      <w:tr w:rsidR="0006322E" w:rsidRPr="00613CB5" w:rsidTr="00C47757">
        <w:tblPrEx>
          <w:tblCellMar>
            <w:top w:w="0" w:type="dxa"/>
            <w:bottom w:w="0" w:type="dxa"/>
          </w:tblCellMar>
        </w:tblPrEx>
        <w:trPr>
          <w:trHeight w:val="1036"/>
        </w:trPr>
        <w:tc>
          <w:tcPr>
            <w:tcW w:w="2988" w:type="dxa"/>
          </w:tcPr>
          <w:p w:rsidR="004F5545" w:rsidRDefault="004F5545" w:rsidP="00AE73B7">
            <w:pPr>
              <w:pStyle w:val="Default"/>
              <w:rPr>
                <w:sz w:val="20"/>
                <w:szCs w:val="20"/>
              </w:rPr>
            </w:pPr>
          </w:p>
          <w:p w:rsidR="0006322E" w:rsidRPr="00613CB5" w:rsidRDefault="0006322E" w:rsidP="007F30DB">
            <w:pPr>
              <w:pStyle w:val="Default"/>
              <w:rPr>
                <w:sz w:val="20"/>
                <w:szCs w:val="20"/>
              </w:rPr>
            </w:pPr>
            <w:r>
              <w:rPr>
                <w:sz w:val="20"/>
                <w:szCs w:val="20"/>
              </w:rPr>
              <w:t xml:space="preserve">Maintain a focus on </w:t>
            </w:r>
            <w:r w:rsidR="00C81550">
              <w:rPr>
                <w:sz w:val="20"/>
                <w:szCs w:val="20"/>
              </w:rPr>
              <w:t>diminishing the gap</w:t>
            </w:r>
            <w:r w:rsidRPr="00613CB5">
              <w:rPr>
                <w:sz w:val="20"/>
                <w:szCs w:val="20"/>
              </w:rPr>
              <w:t xml:space="preserve">, in terms of attainment and progress by continuing to expand the offering of </w:t>
            </w:r>
            <w:r w:rsidRPr="00613CB5">
              <w:rPr>
                <w:b/>
                <w:bCs/>
                <w:sz w:val="20"/>
                <w:szCs w:val="20"/>
              </w:rPr>
              <w:t xml:space="preserve">vocational </w:t>
            </w:r>
            <w:r w:rsidRPr="00613CB5">
              <w:rPr>
                <w:b/>
                <w:bCs/>
                <w:sz w:val="20"/>
                <w:szCs w:val="20"/>
              </w:rPr>
              <w:lastRenderedPageBreak/>
              <w:t xml:space="preserve">qualifications, </w:t>
            </w:r>
            <w:r w:rsidRPr="00613CB5">
              <w:rPr>
                <w:sz w:val="20"/>
                <w:szCs w:val="20"/>
              </w:rPr>
              <w:t xml:space="preserve">to engage and to tailor learning for difficult-to-reach students </w:t>
            </w:r>
          </w:p>
        </w:tc>
        <w:tc>
          <w:tcPr>
            <w:tcW w:w="3261" w:type="dxa"/>
          </w:tcPr>
          <w:p w:rsidR="004F5545" w:rsidRDefault="004F5545" w:rsidP="00AE73B7">
            <w:pPr>
              <w:pStyle w:val="Default"/>
              <w:rPr>
                <w:sz w:val="20"/>
                <w:szCs w:val="20"/>
              </w:rPr>
            </w:pPr>
          </w:p>
          <w:p w:rsidR="0006322E" w:rsidRPr="00613CB5" w:rsidRDefault="0006322E" w:rsidP="00AE73B7">
            <w:pPr>
              <w:pStyle w:val="Default"/>
              <w:rPr>
                <w:sz w:val="20"/>
                <w:szCs w:val="20"/>
              </w:rPr>
            </w:pPr>
            <w:r w:rsidRPr="00613CB5">
              <w:rPr>
                <w:sz w:val="20"/>
                <w:szCs w:val="20"/>
              </w:rPr>
              <w:t xml:space="preserve">Off-site provision </w:t>
            </w:r>
          </w:p>
          <w:p w:rsidR="0006322E" w:rsidRDefault="0006322E" w:rsidP="00AE73B7">
            <w:pPr>
              <w:pStyle w:val="Default"/>
              <w:rPr>
                <w:sz w:val="20"/>
                <w:szCs w:val="20"/>
              </w:rPr>
            </w:pPr>
            <w:r w:rsidRPr="00613CB5">
              <w:rPr>
                <w:sz w:val="20"/>
                <w:szCs w:val="20"/>
              </w:rPr>
              <w:t>Hair &amp; Beauty</w:t>
            </w:r>
            <w:r>
              <w:rPr>
                <w:sz w:val="20"/>
                <w:szCs w:val="20"/>
              </w:rPr>
              <w:t>; Vocational placement</w:t>
            </w:r>
            <w:r w:rsidR="00C81550">
              <w:rPr>
                <w:sz w:val="20"/>
                <w:szCs w:val="20"/>
              </w:rPr>
              <w:t xml:space="preserve">, Alternative Provision </w:t>
            </w:r>
            <w:r>
              <w:rPr>
                <w:sz w:val="20"/>
                <w:szCs w:val="20"/>
              </w:rPr>
              <w:t xml:space="preserve"> </w:t>
            </w:r>
            <w:r w:rsidR="00C81550">
              <w:rPr>
                <w:sz w:val="20"/>
                <w:szCs w:val="20"/>
              </w:rPr>
              <w:t>(SoL, Brighter Futures, CSIN)</w:t>
            </w:r>
          </w:p>
          <w:p w:rsidR="0006322E" w:rsidRDefault="0006322E" w:rsidP="00AE73B7">
            <w:pPr>
              <w:pStyle w:val="Default"/>
              <w:rPr>
                <w:sz w:val="20"/>
                <w:szCs w:val="20"/>
              </w:rPr>
            </w:pPr>
            <w:r>
              <w:rPr>
                <w:sz w:val="20"/>
                <w:szCs w:val="20"/>
              </w:rPr>
              <w:lastRenderedPageBreak/>
              <w:t>Onsite provision</w:t>
            </w:r>
          </w:p>
          <w:p w:rsidR="0006322E" w:rsidRDefault="0006322E" w:rsidP="00AE73B7">
            <w:pPr>
              <w:pStyle w:val="Default"/>
              <w:rPr>
                <w:sz w:val="20"/>
                <w:szCs w:val="20"/>
              </w:rPr>
            </w:pPr>
            <w:r>
              <w:rPr>
                <w:sz w:val="20"/>
                <w:szCs w:val="20"/>
              </w:rPr>
              <w:t>Construction (CSKills Level 1);  Horticulture; plus physical resources</w:t>
            </w:r>
          </w:p>
          <w:p w:rsidR="0006322E" w:rsidRPr="00613CB5" w:rsidRDefault="0006322E" w:rsidP="00AE73B7">
            <w:pPr>
              <w:pStyle w:val="Default"/>
              <w:rPr>
                <w:sz w:val="20"/>
                <w:szCs w:val="20"/>
              </w:rPr>
            </w:pPr>
            <w:r>
              <w:rPr>
                <w:sz w:val="20"/>
                <w:szCs w:val="20"/>
              </w:rPr>
              <w:t>Sports Leaders award</w:t>
            </w:r>
          </w:p>
        </w:tc>
        <w:tc>
          <w:tcPr>
            <w:tcW w:w="3827" w:type="dxa"/>
          </w:tcPr>
          <w:p w:rsidR="004F5545" w:rsidRDefault="004F5545" w:rsidP="00AE73B7">
            <w:pPr>
              <w:pStyle w:val="Default"/>
              <w:rPr>
                <w:sz w:val="20"/>
                <w:szCs w:val="20"/>
              </w:rPr>
            </w:pPr>
          </w:p>
          <w:p w:rsidR="0006322E" w:rsidRDefault="0006322E" w:rsidP="00AE73B7">
            <w:pPr>
              <w:pStyle w:val="Default"/>
              <w:rPr>
                <w:sz w:val="20"/>
                <w:szCs w:val="20"/>
              </w:rPr>
            </w:pPr>
            <w:r w:rsidRPr="00613CB5">
              <w:rPr>
                <w:sz w:val="20"/>
                <w:szCs w:val="20"/>
              </w:rPr>
              <w:t xml:space="preserve">The </w:t>
            </w:r>
            <w:r>
              <w:rPr>
                <w:sz w:val="20"/>
                <w:szCs w:val="20"/>
              </w:rPr>
              <w:t>school</w:t>
            </w:r>
            <w:r w:rsidRPr="00613CB5">
              <w:rPr>
                <w:sz w:val="20"/>
                <w:szCs w:val="20"/>
              </w:rPr>
              <w:t xml:space="preserve"> has historically offered vocational subjects both on-site and </w:t>
            </w:r>
            <w:r w:rsidR="007F30DB">
              <w:rPr>
                <w:sz w:val="20"/>
                <w:szCs w:val="20"/>
              </w:rPr>
              <w:t>off-site working with</w:t>
            </w:r>
            <w:r w:rsidRPr="00613CB5">
              <w:rPr>
                <w:sz w:val="20"/>
                <w:szCs w:val="20"/>
              </w:rPr>
              <w:t xml:space="preserve"> external organisations</w:t>
            </w:r>
            <w:r w:rsidR="007F30DB">
              <w:rPr>
                <w:sz w:val="20"/>
                <w:szCs w:val="20"/>
              </w:rPr>
              <w:t xml:space="preserve"> and LA teams</w:t>
            </w:r>
            <w:r w:rsidRPr="00613CB5">
              <w:rPr>
                <w:sz w:val="20"/>
                <w:szCs w:val="20"/>
              </w:rPr>
              <w:t xml:space="preserve">. </w:t>
            </w:r>
          </w:p>
          <w:p w:rsidR="0006322E" w:rsidRDefault="0006322E" w:rsidP="004F5545">
            <w:pPr>
              <w:pStyle w:val="Default"/>
              <w:rPr>
                <w:sz w:val="20"/>
                <w:szCs w:val="20"/>
              </w:rPr>
            </w:pPr>
            <w:r w:rsidRPr="00613CB5">
              <w:rPr>
                <w:sz w:val="20"/>
                <w:szCs w:val="20"/>
              </w:rPr>
              <w:lastRenderedPageBreak/>
              <w:t xml:space="preserve">The Pupil Premium has allowed continuation of this offering </w:t>
            </w:r>
            <w:r>
              <w:rPr>
                <w:sz w:val="20"/>
                <w:szCs w:val="20"/>
              </w:rPr>
              <w:t xml:space="preserve">and </w:t>
            </w:r>
            <w:r w:rsidRPr="00613CB5">
              <w:rPr>
                <w:sz w:val="20"/>
                <w:szCs w:val="20"/>
              </w:rPr>
              <w:t>given students the opportunity to achieve academic qualification</w:t>
            </w:r>
            <w:r>
              <w:rPr>
                <w:sz w:val="20"/>
                <w:szCs w:val="20"/>
              </w:rPr>
              <w:t>s and workplace based learning which continues.</w:t>
            </w:r>
          </w:p>
          <w:p w:rsidR="004F5545" w:rsidRPr="00613CB5" w:rsidRDefault="004F5545" w:rsidP="004F5545">
            <w:pPr>
              <w:pStyle w:val="Default"/>
              <w:rPr>
                <w:sz w:val="20"/>
                <w:szCs w:val="20"/>
              </w:rPr>
            </w:pPr>
          </w:p>
        </w:tc>
        <w:tc>
          <w:tcPr>
            <w:tcW w:w="1559" w:type="dxa"/>
          </w:tcPr>
          <w:p w:rsidR="0006322E" w:rsidRDefault="0006322E" w:rsidP="00AE73B7">
            <w:pPr>
              <w:pStyle w:val="Default"/>
              <w:rPr>
                <w:sz w:val="20"/>
                <w:szCs w:val="20"/>
              </w:rPr>
            </w:pPr>
          </w:p>
          <w:p w:rsidR="0006322E" w:rsidRPr="00613CB5" w:rsidRDefault="00E84B2B" w:rsidP="00717243">
            <w:pPr>
              <w:pStyle w:val="Default"/>
              <w:rPr>
                <w:sz w:val="20"/>
                <w:szCs w:val="20"/>
              </w:rPr>
            </w:pPr>
            <w:r>
              <w:rPr>
                <w:sz w:val="20"/>
                <w:szCs w:val="20"/>
              </w:rPr>
              <w:t>£67,066</w:t>
            </w:r>
          </w:p>
        </w:tc>
        <w:tc>
          <w:tcPr>
            <w:tcW w:w="3119" w:type="dxa"/>
          </w:tcPr>
          <w:p w:rsidR="0006322E" w:rsidRDefault="0006322E" w:rsidP="00AE73B7">
            <w:pPr>
              <w:pStyle w:val="Default"/>
              <w:rPr>
                <w:sz w:val="20"/>
                <w:szCs w:val="20"/>
              </w:rPr>
            </w:pPr>
          </w:p>
          <w:p w:rsidR="0006322E" w:rsidRDefault="007F30DB" w:rsidP="00AE73B7">
            <w:pPr>
              <w:pStyle w:val="Default"/>
              <w:rPr>
                <w:sz w:val="20"/>
                <w:szCs w:val="20"/>
              </w:rPr>
            </w:pPr>
            <w:r>
              <w:rPr>
                <w:sz w:val="20"/>
                <w:szCs w:val="20"/>
              </w:rPr>
              <w:t>A widening of career choices, experiences</w:t>
            </w:r>
            <w:r w:rsidR="0006322E">
              <w:rPr>
                <w:sz w:val="20"/>
                <w:szCs w:val="20"/>
              </w:rPr>
              <w:t xml:space="preserve"> </w:t>
            </w:r>
            <w:r>
              <w:rPr>
                <w:sz w:val="20"/>
                <w:szCs w:val="20"/>
              </w:rPr>
              <w:t xml:space="preserve">and </w:t>
            </w:r>
            <w:r w:rsidR="0006322E">
              <w:rPr>
                <w:sz w:val="20"/>
                <w:szCs w:val="20"/>
              </w:rPr>
              <w:t xml:space="preserve">opportunities for </w:t>
            </w:r>
            <w:r w:rsidR="00C568D5">
              <w:rPr>
                <w:sz w:val="20"/>
                <w:szCs w:val="20"/>
              </w:rPr>
              <w:t>pupils</w:t>
            </w:r>
            <w:r w:rsidR="0006322E">
              <w:rPr>
                <w:sz w:val="20"/>
                <w:szCs w:val="20"/>
              </w:rPr>
              <w:t>.</w:t>
            </w:r>
            <w:r w:rsidR="005A4C76">
              <w:rPr>
                <w:sz w:val="20"/>
                <w:szCs w:val="20"/>
              </w:rPr>
              <w:t xml:space="preserve"> </w:t>
            </w:r>
          </w:p>
          <w:p w:rsidR="005A4C76" w:rsidRDefault="005A4C76" w:rsidP="00AE73B7">
            <w:pPr>
              <w:pStyle w:val="Default"/>
              <w:rPr>
                <w:sz w:val="20"/>
                <w:szCs w:val="20"/>
              </w:rPr>
            </w:pPr>
          </w:p>
          <w:p w:rsidR="005A4C76" w:rsidRDefault="005A4C76" w:rsidP="005A4C76">
            <w:pPr>
              <w:pStyle w:val="Default"/>
              <w:rPr>
                <w:sz w:val="20"/>
                <w:szCs w:val="20"/>
              </w:rPr>
            </w:pPr>
          </w:p>
          <w:p w:rsidR="005A4C76" w:rsidRDefault="005A4C76" w:rsidP="005A4C76">
            <w:pPr>
              <w:pStyle w:val="Default"/>
              <w:rPr>
                <w:sz w:val="20"/>
                <w:szCs w:val="20"/>
              </w:rPr>
            </w:pPr>
          </w:p>
          <w:p w:rsidR="005A4C76" w:rsidRDefault="005A4C76" w:rsidP="005A4C76">
            <w:pPr>
              <w:pStyle w:val="Default"/>
              <w:rPr>
                <w:sz w:val="20"/>
                <w:szCs w:val="20"/>
              </w:rPr>
            </w:pPr>
          </w:p>
          <w:p w:rsidR="005A4C76" w:rsidRDefault="005A4C76" w:rsidP="005A4C76">
            <w:pPr>
              <w:pStyle w:val="Default"/>
              <w:rPr>
                <w:sz w:val="20"/>
                <w:szCs w:val="20"/>
              </w:rPr>
            </w:pPr>
          </w:p>
        </w:tc>
      </w:tr>
      <w:tr w:rsidR="004F5545" w:rsidRPr="00613CB5" w:rsidTr="00C47757">
        <w:tblPrEx>
          <w:tblCellMar>
            <w:top w:w="0" w:type="dxa"/>
            <w:bottom w:w="0" w:type="dxa"/>
          </w:tblCellMar>
        </w:tblPrEx>
        <w:trPr>
          <w:trHeight w:val="1036"/>
        </w:trPr>
        <w:tc>
          <w:tcPr>
            <w:tcW w:w="2988" w:type="dxa"/>
          </w:tcPr>
          <w:p w:rsidR="004F5545" w:rsidRDefault="004F5545" w:rsidP="00AE73B7">
            <w:pPr>
              <w:pStyle w:val="Default"/>
              <w:rPr>
                <w:sz w:val="20"/>
                <w:szCs w:val="20"/>
              </w:rPr>
            </w:pPr>
          </w:p>
          <w:p w:rsidR="004F5545" w:rsidRDefault="004F5545" w:rsidP="004F5545">
            <w:pPr>
              <w:pStyle w:val="Default"/>
              <w:rPr>
                <w:sz w:val="20"/>
                <w:szCs w:val="20"/>
              </w:rPr>
            </w:pPr>
            <w:r>
              <w:rPr>
                <w:sz w:val="20"/>
                <w:szCs w:val="20"/>
              </w:rPr>
              <w:t xml:space="preserve">Deployment of a Transition Team </w:t>
            </w:r>
            <w:r w:rsidR="0005760E">
              <w:rPr>
                <w:sz w:val="20"/>
                <w:szCs w:val="20"/>
              </w:rPr>
              <w:t>focused</w:t>
            </w:r>
            <w:r>
              <w:rPr>
                <w:sz w:val="20"/>
                <w:szCs w:val="20"/>
              </w:rPr>
              <w:t xml:space="preserve"> on targeted interventions which </w:t>
            </w:r>
            <w:r w:rsidRPr="00613CB5">
              <w:rPr>
                <w:sz w:val="20"/>
                <w:szCs w:val="20"/>
              </w:rPr>
              <w:t>introduc</w:t>
            </w:r>
            <w:r>
              <w:rPr>
                <w:sz w:val="20"/>
                <w:szCs w:val="20"/>
              </w:rPr>
              <w:t>es</w:t>
            </w:r>
            <w:r w:rsidRPr="00613CB5">
              <w:rPr>
                <w:sz w:val="20"/>
                <w:szCs w:val="20"/>
              </w:rPr>
              <w:t xml:space="preserve"> students to secondary education</w:t>
            </w:r>
            <w:r>
              <w:rPr>
                <w:sz w:val="20"/>
                <w:szCs w:val="20"/>
              </w:rPr>
              <w:t xml:space="preserve"> </w:t>
            </w:r>
          </w:p>
        </w:tc>
        <w:tc>
          <w:tcPr>
            <w:tcW w:w="3261" w:type="dxa"/>
          </w:tcPr>
          <w:p w:rsidR="004F5545" w:rsidRDefault="004F5545" w:rsidP="004F5545">
            <w:pPr>
              <w:pStyle w:val="Default"/>
              <w:rPr>
                <w:sz w:val="20"/>
                <w:szCs w:val="20"/>
              </w:rPr>
            </w:pPr>
          </w:p>
          <w:p w:rsidR="004F5545" w:rsidRDefault="004F5545" w:rsidP="004F5545">
            <w:pPr>
              <w:pStyle w:val="Default"/>
              <w:rPr>
                <w:sz w:val="20"/>
                <w:szCs w:val="20"/>
              </w:rPr>
            </w:pPr>
            <w:r>
              <w:rPr>
                <w:sz w:val="20"/>
                <w:szCs w:val="20"/>
              </w:rPr>
              <w:t>Transition Mentor (0.5 WTE)</w:t>
            </w:r>
          </w:p>
          <w:p w:rsidR="004F5545" w:rsidRDefault="004F5545" w:rsidP="004F5545">
            <w:pPr>
              <w:pStyle w:val="Default"/>
              <w:rPr>
                <w:sz w:val="20"/>
                <w:szCs w:val="20"/>
              </w:rPr>
            </w:pPr>
            <w:r>
              <w:rPr>
                <w:sz w:val="20"/>
                <w:szCs w:val="20"/>
              </w:rPr>
              <w:t>Dedicated Head of Year 7 (Pupil Progress Leader)  (1 WTE)</w:t>
            </w:r>
          </w:p>
          <w:p w:rsidR="004F5545" w:rsidRDefault="004F5545" w:rsidP="004F5545">
            <w:pPr>
              <w:pStyle w:val="Default"/>
              <w:rPr>
                <w:sz w:val="20"/>
                <w:szCs w:val="20"/>
              </w:rPr>
            </w:pPr>
            <w:r>
              <w:rPr>
                <w:sz w:val="20"/>
                <w:szCs w:val="20"/>
              </w:rPr>
              <w:t>Multi-Sport Coaches (1 WTE)</w:t>
            </w:r>
          </w:p>
          <w:p w:rsidR="004F5545" w:rsidRDefault="004F5545" w:rsidP="004F5545">
            <w:pPr>
              <w:pStyle w:val="Default"/>
              <w:rPr>
                <w:sz w:val="20"/>
                <w:szCs w:val="20"/>
              </w:rPr>
            </w:pPr>
            <w:r>
              <w:rPr>
                <w:sz w:val="20"/>
                <w:szCs w:val="20"/>
              </w:rPr>
              <w:t xml:space="preserve">Salford Foundation – primary liaison </w:t>
            </w:r>
          </w:p>
          <w:p w:rsidR="00E46776" w:rsidRDefault="00E46776" w:rsidP="004F5545">
            <w:pPr>
              <w:pStyle w:val="Default"/>
              <w:rPr>
                <w:sz w:val="20"/>
                <w:szCs w:val="20"/>
              </w:rPr>
            </w:pPr>
            <w:r>
              <w:rPr>
                <w:sz w:val="20"/>
                <w:szCs w:val="20"/>
              </w:rPr>
              <w:t>Summer school</w:t>
            </w:r>
          </w:p>
          <w:p w:rsidR="004F5545" w:rsidRDefault="004F5545" w:rsidP="004F5545">
            <w:pPr>
              <w:pStyle w:val="Default"/>
              <w:rPr>
                <w:sz w:val="20"/>
                <w:szCs w:val="20"/>
              </w:rPr>
            </w:pPr>
          </w:p>
          <w:p w:rsidR="004F5545" w:rsidRDefault="004F5545" w:rsidP="00AE73B7">
            <w:pPr>
              <w:pStyle w:val="Default"/>
              <w:rPr>
                <w:sz w:val="20"/>
                <w:szCs w:val="20"/>
              </w:rPr>
            </w:pPr>
          </w:p>
        </w:tc>
        <w:tc>
          <w:tcPr>
            <w:tcW w:w="3827" w:type="dxa"/>
          </w:tcPr>
          <w:p w:rsidR="004F5545" w:rsidRDefault="004F5545" w:rsidP="004F5545">
            <w:pPr>
              <w:pStyle w:val="Default"/>
              <w:rPr>
                <w:sz w:val="20"/>
                <w:szCs w:val="20"/>
              </w:rPr>
            </w:pPr>
          </w:p>
          <w:p w:rsidR="004F5545" w:rsidRDefault="004F5545" w:rsidP="004F5545">
            <w:pPr>
              <w:pStyle w:val="Default"/>
              <w:rPr>
                <w:sz w:val="20"/>
                <w:szCs w:val="20"/>
              </w:rPr>
            </w:pPr>
            <w:r>
              <w:rPr>
                <w:sz w:val="20"/>
                <w:szCs w:val="20"/>
              </w:rPr>
              <w:t xml:space="preserve">A series of workshops and events are run both at Partner Primary schools and at All Hallows aimed at easing the transition process. </w:t>
            </w:r>
          </w:p>
          <w:p w:rsidR="004F5545" w:rsidRPr="00BE6781" w:rsidRDefault="004F5545" w:rsidP="004F5545">
            <w:pPr>
              <w:pStyle w:val="Default"/>
              <w:rPr>
                <w:sz w:val="16"/>
                <w:szCs w:val="16"/>
              </w:rPr>
            </w:pPr>
          </w:p>
          <w:p w:rsidR="004F5545" w:rsidRDefault="004F5545" w:rsidP="004F5545">
            <w:pPr>
              <w:pStyle w:val="Default"/>
              <w:rPr>
                <w:sz w:val="20"/>
                <w:szCs w:val="20"/>
              </w:rPr>
            </w:pPr>
            <w:r>
              <w:rPr>
                <w:sz w:val="20"/>
                <w:szCs w:val="20"/>
              </w:rPr>
              <w:t>A</w:t>
            </w:r>
            <w:r w:rsidRPr="00613CB5">
              <w:rPr>
                <w:sz w:val="20"/>
                <w:szCs w:val="20"/>
              </w:rPr>
              <w:t>long</w:t>
            </w:r>
            <w:r>
              <w:rPr>
                <w:sz w:val="20"/>
                <w:szCs w:val="20"/>
              </w:rPr>
              <w:t>side this</w:t>
            </w:r>
            <w:r w:rsidRPr="00613CB5">
              <w:rPr>
                <w:sz w:val="20"/>
                <w:szCs w:val="20"/>
              </w:rPr>
              <w:t xml:space="preserve"> </w:t>
            </w:r>
            <w:r>
              <w:rPr>
                <w:sz w:val="20"/>
                <w:szCs w:val="20"/>
              </w:rPr>
              <w:t xml:space="preserve">All Hallows deploys a number of staff into (7) </w:t>
            </w:r>
            <w:r w:rsidRPr="00613CB5">
              <w:rPr>
                <w:sz w:val="20"/>
                <w:szCs w:val="20"/>
              </w:rPr>
              <w:t>primaries</w:t>
            </w:r>
            <w:r>
              <w:rPr>
                <w:sz w:val="20"/>
                <w:szCs w:val="20"/>
              </w:rPr>
              <w:t xml:space="preserve"> to support transition opportunities and inter school competition and activities </w:t>
            </w:r>
          </w:p>
          <w:p w:rsidR="00717243" w:rsidRPr="00BE6781" w:rsidRDefault="00717243" w:rsidP="004F5545">
            <w:pPr>
              <w:pStyle w:val="Default"/>
              <w:rPr>
                <w:sz w:val="16"/>
                <w:szCs w:val="16"/>
              </w:rPr>
            </w:pPr>
          </w:p>
          <w:p w:rsidR="00717243" w:rsidRDefault="00717243" w:rsidP="004F5545">
            <w:pPr>
              <w:pStyle w:val="Default"/>
              <w:rPr>
                <w:sz w:val="20"/>
                <w:szCs w:val="20"/>
              </w:rPr>
            </w:pPr>
            <w:r>
              <w:rPr>
                <w:sz w:val="20"/>
                <w:szCs w:val="20"/>
              </w:rPr>
              <w:t xml:space="preserve">Resources and staffing of Summer School </w:t>
            </w:r>
          </w:p>
          <w:p w:rsidR="007D1BC4" w:rsidRPr="00BE6781" w:rsidRDefault="007D1BC4" w:rsidP="004F5545">
            <w:pPr>
              <w:pStyle w:val="Default"/>
              <w:rPr>
                <w:sz w:val="16"/>
                <w:szCs w:val="16"/>
              </w:rPr>
            </w:pPr>
          </w:p>
          <w:p w:rsidR="00E46776" w:rsidRDefault="007D1BC4" w:rsidP="00BE6781">
            <w:pPr>
              <w:pStyle w:val="Default"/>
              <w:rPr>
                <w:sz w:val="20"/>
                <w:szCs w:val="20"/>
              </w:rPr>
            </w:pPr>
            <w:r>
              <w:rPr>
                <w:sz w:val="20"/>
                <w:szCs w:val="20"/>
              </w:rPr>
              <w:t>Resources and staffing of transition events and support</w:t>
            </w:r>
          </w:p>
        </w:tc>
        <w:tc>
          <w:tcPr>
            <w:tcW w:w="1559" w:type="dxa"/>
          </w:tcPr>
          <w:p w:rsidR="004F5545" w:rsidRPr="007D1BC4" w:rsidRDefault="004F5545" w:rsidP="00AE73B7">
            <w:pPr>
              <w:pStyle w:val="Default"/>
              <w:rPr>
                <w:sz w:val="20"/>
                <w:szCs w:val="20"/>
              </w:rPr>
            </w:pPr>
          </w:p>
          <w:p w:rsidR="00E46776" w:rsidRDefault="00E84B2B" w:rsidP="007D1BC4">
            <w:pPr>
              <w:pStyle w:val="Default"/>
              <w:rPr>
                <w:sz w:val="20"/>
                <w:szCs w:val="20"/>
              </w:rPr>
            </w:pPr>
            <w:r>
              <w:rPr>
                <w:sz w:val="20"/>
                <w:szCs w:val="20"/>
              </w:rPr>
              <w:t>£86,383</w:t>
            </w:r>
          </w:p>
          <w:p w:rsidR="00E84B2B" w:rsidRDefault="00E84B2B" w:rsidP="007D1BC4">
            <w:pPr>
              <w:pStyle w:val="Default"/>
              <w:rPr>
                <w:sz w:val="20"/>
                <w:szCs w:val="20"/>
              </w:rPr>
            </w:pPr>
          </w:p>
          <w:p w:rsidR="00E84B2B" w:rsidRPr="007D1BC4" w:rsidRDefault="00E84B2B" w:rsidP="007D1BC4">
            <w:pPr>
              <w:pStyle w:val="Default"/>
              <w:rPr>
                <w:sz w:val="20"/>
                <w:szCs w:val="20"/>
              </w:rPr>
            </w:pPr>
          </w:p>
        </w:tc>
        <w:tc>
          <w:tcPr>
            <w:tcW w:w="3119" w:type="dxa"/>
          </w:tcPr>
          <w:p w:rsidR="004F5545" w:rsidRDefault="004F5545" w:rsidP="00AE73B7">
            <w:pPr>
              <w:pStyle w:val="Default"/>
              <w:rPr>
                <w:sz w:val="20"/>
                <w:szCs w:val="20"/>
              </w:rPr>
            </w:pPr>
          </w:p>
        </w:tc>
      </w:tr>
      <w:tr w:rsidR="0006322E" w:rsidRPr="00613CB5" w:rsidTr="00C47757">
        <w:tblPrEx>
          <w:tblCellMar>
            <w:top w:w="0" w:type="dxa"/>
            <w:bottom w:w="0" w:type="dxa"/>
          </w:tblCellMar>
        </w:tblPrEx>
        <w:trPr>
          <w:trHeight w:val="394"/>
        </w:trPr>
        <w:tc>
          <w:tcPr>
            <w:tcW w:w="14754" w:type="dxa"/>
            <w:gridSpan w:val="5"/>
            <w:shd w:val="pct15" w:color="auto" w:fill="auto"/>
          </w:tcPr>
          <w:p w:rsidR="0006322E" w:rsidRPr="00056674" w:rsidRDefault="0006322E" w:rsidP="00FB4201">
            <w:pPr>
              <w:pStyle w:val="Default"/>
              <w:rPr>
                <w:b/>
                <w:sz w:val="28"/>
                <w:szCs w:val="28"/>
              </w:rPr>
            </w:pPr>
            <w:r>
              <w:rPr>
                <w:b/>
                <w:sz w:val="28"/>
                <w:szCs w:val="28"/>
              </w:rPr>
              <w:t>Teaching and L</w:t>
            </w:r>
            <w:r w:rsidRPr="00056674">
              <w:rPr>
                <w:b/>
                <w:sz w:val="28"/>
                <w:szCs w:val="28"/>
              </w:rPr>
              <w:t>earning</w:t>
            </w:r>
          </w:p>
        </w:tc>
      </w:tr>
      <w:tr w:rsidR="0006322E" w:rsidRPr="00613CB5" w:rsidTr="00C47757">
        <w:tblPrEx>
          <w:tblCellMar>
            <w:top w:w="0" w:type="dxa"/>
            <w:bottom w:w="0" w:type="dxa"/>
          </w:tblCellMar>
        </w:tblPrEx>
        <w:trPr>
          <w:trHeight w:val="1584"/>
        </w:trPr>
        <w:tc>
          <w:tcPr>
            <w:tcW w:w="2988" w:type="dxa"/>
          </w:tcPr>
          <w:p w:rsidR="004F5545" w:rsidRDefault="004F5545" w:rsidP="00AE73B7">
            <w:pPr>
              <w:pStyle w:val="Default"/>
              <w:rPr>
                <w:sz w:val="20"/>
                <w:szCs w:val="20"/>
              </w:rPr>
            </w:pPr>
          </w:p>
          <w:p w:rsidR="0006322E" w:rsidRPr="00613CB5" w:rsidRDefault="0006322E" w:rsidP="00C81550">
            <w:pPr>
              <w:pStyle w:val="Default"/>
              <w:rPr>
                <w:sz w:val="20"/>
                <w:szCs w:val="20"/>
              </w:rPr>
            </w:pPr>
            <w:r w:rsidRPr="00613CB5">
              <w:rPr>
                <w:sz w:val="20"/>
                <w:szCs w:val="20"/>
              </w:rPr>
              <w:t>To</w:t>
            </w:r>
            <w:r>
              <w:rPr>
                <w:sz w:val="20"/>
                <w:szCs w:val="20"/>
              </w:rPr>
              <w:t xml:space="preserve"> continue to</w:t>
            </w:r>
            <w:r w:rsidRPr="00613CB5">
              <w:rPr>
                <w:sz w:val="20"/>
                <w:szCs w:val="20"/>
              </w:rPr>
              <w:t xml:space="preserve"> </w:t>
            </w:r>
            <w:r w:rsidR="00C81550">
              <w:rPr>
                <w:sz w:val="20"/>
                <w:szCs w:val="20"/>
              </w:rPr>
              <w:t>work to diminish the gap</w:t>
            </w:r>
            <w:r w:rsidRPr="00613CB5">
              <w:rPr>
                <w:sz w:val="20"/>
                <w:szCs w:val="20"/>
              </w:rPr>
              <w:t xml:space="preserve">, especially in terms of attainment and progress, in </w:t>
            </w:r>
            <w:r w:rsidRPr="00613CB5">
              <w:rPr>
                <w:b/>
                <w:bCs/>
                <w:sz w:val="20"/>
                <w:szCs w:val="20"/>
              </w:rPr>
              <w:t xml:space="preserve">Literacy </w:t>
            </w:r>
            <w:r w:rsidRPr="00613CB5">
              <w:rPr>
                <w:sz w:val="20"/>
                <w:szCs w:val="20"/>
              </w:rPr>
              <w:t xml:space="preserve">across the Curriculum Programme with extended focus on Y11 students in preparation for GCSE examinations. </w:t>
            </w:r>
          </w:p>
        </w:tc>
        <w:tc>
          <w:tcPr>
            <w:tcW w:w="3261" w:type="dxa"/>
          </w:tcPr>
          <w:p w:rsidR="004F5545" w:rsidRDefault="004F5545" w:rsidP="00AE73B7">
            <w:pPr>
              <w:pStyle w:val="Default"/>
              <w:rPr>
                <w:sz w:val="20"/>
                <w:szCs w:val="20"/>
              </w:rPr>
            </w:pPr>
          </w:p>
          <w:p w:rsidR="0006322E" w:rsidRDefault="0006322E" w:rsidP="00AE73B7">
            <w:pPr>
              <w:pStyle w:val="Default"/>
              <w:rPr>
                <w:sz w:val="20"/>
                <w:szCs w:val="20"/>
              </w:rPr>
            </w:pPr>
            <w:r w:rsidRPr="00613CB5">
              <w:rPr>
                <w:sz w:val="20"/>
                <w:szCs w:val="20"/>
              </w:rPr>
              <w:t>Employment</w:t>
            </w:r>
            <w:r>
              <w:rPr>
                <w:sz w:val="20"/>
                <w:szCs w:val="20"/>
              </w:rPr>
              <w:t xml:space="preserve">/Deployment of </w:t>
            </w:r>
            <w:r w:rsidRPr="00613CB5">
              <w:rPr>
                <w:sz w:val="20"/>
                <w:szCs w:val="20"/>
              </w:rPr>
              <w:t xml:space="preserve"> </w:t>
            </w:r>
            <w:r>
              <w:rPr>
                <w:sz w:val="20"/>
                <w:szCs w:val="20"/>
              </w:rPr>
              <w:t>specialist tutors</w:t>
            </w:r>
            <w:r w:rsidRPr="00613CB5">
              <w:rPr>
                <w:sz w:val="20"/>
                <w:szCs w:val="20"/>
              </w:rPr>
              <w:t xml:space="preserve"> to provide bespoke support in English for targeted students </w:t>
            </w:r>
          </w:p>
          <w:p w:rsidR="0006322E" w:rsidRPr="00613CB5" w:rsidRDefault="0006322E" w:rsidP="00AE73B7">
            <w:pPr>
              <w:pStyle w:val="Default"/>
              <w:rPr>
                <w:sz w:val="20"/>
                <w:szCs w:val="20"/>
              </w:rPr>
            </w:pPr>
          </w:p>
          <w:p w:rsidR="0006322E" w:rsidRDefault="0006322E" w:rsidP="00AE73B7">
            <w:pPr>
              <w:pStyle w:val="Default"/>
              <w:rPr>
                <w:sz w:val="20"/>
                <w:szCs w:val="20"/>
              </w:rPr>
            </w:pPr>
            <w:r>
              <w:rPr>
                <w:sz w:val="20"/>
                <w:szCs w:val="20"/>
              </w:rPr>
              <w:t>KS3 1-2-1  tutor (0.</w:t>
            </w:r>
            <w:r w:rsidR="00334F6F">
              <w:rPr>
                <w:sz w:val="20"/>
                <w:szCs w:val="20"/>
              </w:rPr>
              <w:t>4</w:t>
            </w:r>
            <w:r>
              <w:rPr>
                <w:sz w:val="20"/>
                <w:szCs w:val="20"/>
              </w:rPr>
              <w:t xml:space="preserve"> wte) </w:t>
            </w:r>
          </w:p>
          <w:p w:rsidR="0006322E" w:rsidRPr="00613CB5" w:rsidRDefault="0006322E" w:rsidP="00AE73B7">
            <w:pPr>
              <w:pStyle w:val="Default"/>
              <w:rPr>
                <w:sz w:val="20"/>
                <w:szCs w:val="20"/>
              </w:rPr>
            </w:pPr>
          </w:p>
        </w:tc>
        <w:tc>
          <w:tcPr>
            <w:tcW w:w="3827" w:type="dxa"/>
          </w:tcPr>
          <w:p w:rsidR="004F5545" w:rsidRDefault="004F5545" w:rsidP="00AE73B7">
            <w:pPr>
              <w:pStyle w:val="Default"/>
              <w:rPr>
                <w:sz w:val="20"/>
                <w:szCs w:val="20"/>
              </w:rPr>
            </w:pPr>
          </w:p>
          <w:p w:rsidR="0006322E" w:rsidRDefault="0006322E" w:rsidP="00AE73B7">
            <w:pPr>
              <w:pStyle w:val="Default"/>
              <w:rPr>
                <w:sz w:val="20"/>
                <w:szCs w:val="20"/>
              </w:rPr>
            </w:pPr>
            <w:r>
              <w:rPr>
                <w:sz w:val="20"/>
                <w:szCs w:val="20"/>
              </w:rPr>
              <w:t>F</w:t>
            </w:r>
            <w:r w:rsidRPr="00613CB5">
              <w:rPr>
                <w:sz w:val="20"/>
                <w:szCs w:val="20"/>
              </w:rPr>
              <w:t xml:space="preserve">unding </w:t>
            </w:r>
            <w:r>
              <w:rPr>
                <w:sz w:val="20"/>
                <w:szCs w:val="20"/>
              </w:rPr>
              <w:t xml:space="preserve">has been used </w:t>
            </w:r>
            <w:r w:rsidRPr="00613CB5">
              <w:rPr>
                <w:sz w:val="20"/>
                <w:szCs w:val="20"/>
              </w:rPr>
              <w:t xml:space="preserve">to </w:t>
            </w:r>
            <w:r>
              <w:rPr>
                <w:sz w:val="20"/>
                <w:szCs w:val="20"/>
              </w:rPr>
              <w:t xml:space="preserve">continue the work begun in previous years around an </w:t>
            </w:r>
            <w:r w:rsidRPr="00613CB5">
              <w:rPr>
                <w:sz w:val="20"/>
                <w:szCs w:val="20"/>
              </w:rPr>
              <w:t xml:space="preserve">increase </w:t>
            </w:r>
            <w:r>
              <w:rPr>
                <w:sz w:val="20"/>
                <w:szCs w:val="20"/>
              </w:rPr>
              <w:t xml:space="preserve">in </w:t>
            </w:r>
            <w:r w:rsidRPr="00613CB5">
              <w:rPr>
                <w:sz w:val="20"/>
                <w:szCs w:val="20"/>
              </w:rPr>
              <w:t xml:space="preserve">the level of mentoring in this key curriculum area with one to one tuition and smaller class sizes. </w:t>
            </w:r>
          </w:p>
          <w:p w:rsidR="0006322E" w:rsidRPr="00BE6781" w:rsidRDefault="0006322E" w:rsidP="00AE73B7">
            <w:pPr>
              <w:pStyle w:val="Default"/>
              <w:rPr>
                <w:sz w:val="16"/>
                <w:szCs w:val="16"/>
              </w:rPr>
            </w:pPr>
          </w:p>
          <w:p w:rsidR="0006322E" w:rsidRDefault="0006322E" w:rsidP="00AE73B7">
            <w:pPr>
              <w:pStyle w:val="Default"/>
              <w:rPr>
                <w:sz w:val="20"/>
                <w:szCs w:val="20"/>
              </w:rPr>
            </w:pPr>
            <w:r w:rsidRPr="00613CB5">
              <w:rPr>
                <w:sz w:val="20"/>
                <w:szCs w:val="20"/>
              </w:rPr>
              <w:t xml:space="preserve">It has allowed </w:t>
            </w:r>
            <w:r>
              <w:rPr>
                <w:sz w:val="20"/>
                <w:szCs w:val="20"/>
              </w:rPr>
              <w:t>school</w:t>
            </w:r>
            <w:r w:rsidRPr="00613CB5">
              <w:rPr>
                <w:sz w:val="20"/>
                <w:szCs w:val="20"/>
              </w:rPr>
              <w:t xml:space="preserve"> the ability for individual intervention </w:t>
            </w:r>
            <w:r w:rsidR="003B1692">
              <w:rPr>
                <w:sz w:val="20"/>
                <w:szCs w:val="20"/>
              </w:rPr>
              <w:t xml:space="preserve">and </w:t>
            </w:r>
            <w:proofErr w:type="gramStart"/>
            <w:r w:rsidR="003B1692">
              <w:rPr>
                <w:sz w:val="20"/>
                <w:szCs w:val="20"/>
              </w:rPr>
              <w:t>targeted  interventions</w:t>
            </w:r>
            <w:proofErr w:type="gramEnd"/>
            <w:r w:rsidR="003B1692">
              <w:rPr>
                <w:sz w:val="20"/>
                <w:szCs w:val="20"/>
              </w:rPr>
              <w:t xml:space="preserve"> </w:t>
            </w:r>
            <w:r w:rsidRPr="00613CB5">
              <w:rPr>
                <w:sz w:val="20"/>
                <w:szCs w:val="20"/>
              </w:rPr>
              <w:t>to boost academic performance</w:t>
            </w:r>
            <w:r>
              <w:rPr>
                <w:sz w:val="20"/>
                <w:szCs w:val="20"/>
              </w:rPr>
              <w:t>.</w:t>
            </w:r>
          </w:p>
          <w:p w:rsidR="004F5545" w:rsidRPr="00613CB5" w:rsidRDefault="004F5545" w:rsidP="00AE73B7">
            <w:pPr>
              <w:pStyle w:val="Default"/>
              <w:rPr>
                <w:sz w:val="20"/>
                <w:szCs w:val="20"/>
              </w:rPr>
            </w:pPr>
          </w:p>
        </w:tc>
        <w:tc>
          <w:tcPr>
            <w:tcW w:w="1559" w:type="dxa"/>
          </w:tcPr>
          <w:p w:rsidR="0006322E" w:rsidRDefault="0006322E" w:rsidP="00AE73B7">
            <w:pPr>
              <w:pStyle w:val="Default"/>
              <w:rPr>
                <w:sz w:val="20"/>
                <w:szCs w:val="20"/>
              </w:rPr>
            </w:pPr>
          </w:p>
          <w:p w:rsidR="0006322E" w:rsidRDefault="0006322E" w:rsidP="00AE73B7">
            <w:pPr>
              <w:pStyle w:val="Default"/>
              <w:rPr>
                <w:sz w:val="20"/>
                <w:szCs w:val="20"/>
              </w:rPr>
            </w:pPr>
          </w:p>
          <w:p w:rsidR="0006322E" w:rsidRDefault="0006322E" w:rsidP="00AE73B7">
            <w:pPr>
              <w:pStyle w:val="Default"/>
              <w:rPr>
                <w:sz w:val="20"/>
                <w:szCs w:val="20"/>
              </w:rPr>
            </w:pPr>
          </w:p>
          <w:p w:rsidR="0006322E" w:rsidRPr="00613CB5" w:rsidRDefault="0006322E" w:rsidP="00E84B2B">
            <w:pPr>
              <w:pStyle w:val="Default"/>
              <w:rPr>
                <w:sz w:val="20"/>
                <w:szCs w:val="20"/>
              </w:rPr>
            </w:pPr>
            <w:r w:rsidRPr="00E84B2B">
              <w:rPr>
                <w:sz w:val="20"/>
                <w:szCs w:val="20"/>
              </w:rPr>
              <w:t xml:space="preserve">£ </w:t>
            </w:r>
            <w:r w:rsidR="007D1BC4" w:rsidRPr="00E84B2B">
              <w:rPr>
                <w:sz w:val="20"/>
                <w:szCs w:val="20"/>
              </w:rPr>
              <w:t>14,</w:t>
            </w:r>
            <w:r w:rsidR="00E84B2B" w:rsidRPr="00E84B2B">
              <w:rPr>
                <w:sz w:val="20"/>
                <w:szCs w:val="20"/>
              </w:rPr>
              <w:t>440</w:t>
            </w:r>
          </w:p>
        </w:tc>
        <w:tc>
          <w:tcPr>
            <w:tcW w:w="3119" w:type="dxa"/>
          </w:tcPr>
          <w:p w:rsidR="0006322E" w:rsidRDefault="0006322E" w:rsidP="00AE73B7">
            <w:pPr>
              <w:pStyle w:val="Default"/>
              <w:rPr>
                <w:sz w:val="20"/>
                <w:szCs w:val="20"/>
              </w:rPr>
            </w:pPr>
          </w:p>
          <w:p w:rsidR="00C81550" w:rsidRDefault="003B1692" w:rsidP="00AE73B7">
            <w:pPr>
              <w:pStyle w:val="Default"/>
              <w:rPr>
                <w:color w:val="0D0D0D"/>
                <w:sz w:val="20"/>
                <w:szCs w:val="20"/>
              </w:rPr>
            </w:pPr>
            <w:r w:rsidRPr="00DC4002">
              <w:rPr>
                <w:color w:val="0D0D0D"/>
                <w:sz w:val="20"/>
                <w:szCs w:val="20"/>
              </w:rPr>
              <w:t xml:space="preserve">The teaching of phonics is effective in enabling pupils to tackle unfamiliar words. </w:t>
            </w:r>
          </w:p>
          <w:p w:rsidR="00C81550" w:rsidRDefault="00C81550" w:rsidP="00AE73B7">
            <w:pPr>
              <w:pStyle w:val="Default"/>
              <w:rPr>
                <w:color w:val="0D0D0D"/>
                <w:sz w:val="20"/>
                <w:szCs w:val="20"/>
              </w:rPr>
            </w:pPr>
          </w:p>
          <w:p w:rsidR="0006322E" w:rsidRPr="00DC4002" w:rsidRDefault="003B1692" w:rsidP="00AE73B7">
            <w:pPr>
              <w:pStyle w:val="Default"/>
              <w:rPr>
                <w:sz w:val="20"/>
                <w:szCs w:val="20"/>
                <w:highlight w:val="yellow"/>
              </w:rPr>
            </w:pPr>
            <w:r w:rsidRPr="00DC4002">
              <w:rPr>
                <w:color w:val="0D0D0D"/>
                <w:sz w:val="20"/>
                <w:szCs w:val="20"/>
              </w:rPr>
              <w:t xml:space="preserve">Pupils completing Reading Recovery on average increased their spelling age by </w:t>
            </w:r>
            <w:r w:rsidR="00C81550">
              <w:rPr>
                <w:color w:val="0D0D0D"/>
                <w:sz w:val="20"/>
                <w:szCs w:val="20"/>
              </w:rPr>
              <w:t>more than 2 years</w:t>
            </w:r>
            <w:r w:rsidRPr="00DC4002">
              <w:rPr>
                <w:color w:val="0D0D0D"/>
                <w:sz w:val="20"/>
                <w:szCs w:val="20"/>
              </w:rPr>
              <w:t xml:space="preserve"> and Reading age by </w:t>
            </w:r>
            <w:r w:rsidR="00C81550">
              <w:rPr>
                <w:color w:val="0D0D0D"/>
                <w:sz w:val="20"/>
                <w:szCs w:val="20"/>
              </w:rPr>
              <w:t>3 or more years.</w:t>
            </w:r>
          </w:p>
          <w:p w:rsidR="0006322E" w:rsidRDefault="0006322E" w:rsidP="00AE73B7">
            <w:pPr>
              <w:pStyle w:val="Default"/>
              <w:rPr>
                <w:sz w:val="20"/>
                <w:szCs w:val="20"/>
              </w:rPr>
            </w:pPr>
          </w:p>
          <w:p w:rsidR="0006322E" w:rsidRDefault="0006322E" w:rsidP="00AE73B7">
            <w:pPr>
              <w:pStyle w:val="Default"/>
              <w:rPr>
                <w:sz w:val="20"/>
                <w:szCs w:val="20"/>
              </w:rPr>
            </w:pPr>
          </w:p>
        </w:tc>
      </w:tr>
      <w:tr w:rsidR="0006322E" w:rsidRPr="00613CB5" w:rsidTr="00147111">
        <w:tblPrEx>
          <w:tblCellMar>
            <w:top w:w="0" w:type="dxa"/>
            <w:bottom w:w="0" w:type="dxa"/>
          </w:tblCellMar>
        </w:tblPrEx>
        <w:trPr>
          <w:trHeight w:val="3253"/>
        </w:trPr>
        <w:tc>
          <w:tcPr>
            <w:tcW w:w="2988" w:type="dxa"/>
          </w:tcPr>
          <w:p w:rsidR="004F5545" w:rsidRDefault="004F5545" w:rsidP="00FB4201">
            <w:pPr>
              <w:pStyle w:val="Default"/>
              <w:rPr>
                <w:sz w:val="20"/>
                <w:szCs w:val="20"/>
              </w:rPr>
            </w:pPr>
          </w:p>
          <w:p w:rsidR="0006322E" w:rsidRPr="00613CB5" w:rsidRDefault="0006322E" w:rsidP="00C81550">
            <w:pPr>
              <w:pStyle w:val="Default"/>
              <w:rPr>
                <w:sz w:val="20"/>
                <w:szCs w:val="20"/>
              </w:rPr>
            </w:pPr>
            <w:r w:rsidRPr="00613CB5">
              <w:rPr>
                <w:sz w:val="20"/>
                <w:szCs w:val="20"/>
              </w:rPr>
              <w:t xml:space="preserve">To </w:t>
            </w:r>
            <w:r>
              <w:rPr>
                <w:sz w:val="20"/>
                <w:szCs w:val="20"/>
              </w:rPr>
              <w:t xml:space="preserve">continue to </w:t>
            </w:r>
            <w:r w:rsidR="00C81550">
              <w:rPr>
                <w:sz w:val="20"/>
                <w:szCs w:val="20"/>
              </w:rPr>
              <w:t>work to diminish the gap</w:t>
            </w:r>
            <w:r w:rsidRPr="00613CB5">
              <w:rPr>
                <w:sz w:val="20"/>
                <w:szCs w:val="20"/>
              </w:rPr>
              <w:t xml:space="preserve">, especially in terms of attainment and progress, in </w:t>
            </w:r>
            <w:r w:rsidRPr="00613CB5">
              <w:rPr>
                <w:b/>
                <w:bCs/>
                <w:sz w:val="20"/>
                <w:szCs w:val="20"/>
              </w:rPr>
              <w:t xml:space="preserve">Numeracy </w:t>
            </w:r>
            <w:r w:rsidRPr="00613CB5">
              <w:rPr>
                <w:sz w:val="20"/>
                <w:szCs w:val="20"/>
              </w:rPr>
              <w:t>across the Curriculum Programme, with extended focus on Y11 students in preparation for GCSE examinations.</w:t>
            </w:r>
          </w:p>
        </w:tc>
        <w:tc>
          <w:tcPr>
            <w:tcW w:w="3261" w:type="dxa"/>
          </w:tcPr>
          <w:p w:rsidR="004F5545" w:rsidRDefault="004F5545" w:rsidP="00FB4201">
            <w:pPr>
              <w:pStyle w:val="Default"/>
              <w:rPr>
                <w:sz w:val="20"/>
                <w:szCs w:val="20"/>
              </w:rPr>
            </w:pPr>
          </w:p>
          <w:p w:rsidR="0006322E" w:rsidRPr="00613CB5" w:rsidRDefault="0006322E" w:rsidP="00FB4201">
            <w:pPr>
              <w:pStyle w:val="Default"/>
              <w:rPr>
                <w:sz w:val="20"/>
                <w:szCs w:val="20"/>
              </w:rPr>
            </w:pPr>
            <w:r w:rsidRPr="00613CB5">
              <w:rPr>
                <w:sz w:val="20"/>
                <w:szCs w:val="20"/>
              </w:rPr>
              <w:t xml:space="preserve">Employment of </w:t>
            </w:r>
            <w:r>
              <w:rPr>
                <w:sz w:val="20"/>
                <w:szCs w:val="20"/>
              </w:rPr>
              <w:t>specialist tutors</w:t>
            </w:r>
            <w:r w:rsidRPr="00613CB5">
              <w:rPr>
                <w:sz w:val="20"/>
                <w:szCs w:val="20"/>
              </w:rPr>
              <w:t xml:space="preserve"> to pr</w:t>
            </w:r>
            <w:r>
              <w:rPr>
                <w:sz w:val="20"/>
                <w:szCs w:val="20"/>
              </w:rPr>
              <w:t xml:space="preserve">ovide bespoke support in Maths </w:t>
            </w:r>
            <w:r w:rsidRPr="00613CB5">
              <w:rPr>
                <w:sz w:val="20"/>
                <w:szCs w:val="20"/>
              </w:rPr>
              <w:t xml:space="preserve">for targeted students </w:t>
            </w:r>
          </w:p>
          <w:p w:rsidR="0006322E" w:rsidRDefault="0006322E" w:rsidP="00FB4201">
            <w:pPr>
              <w:pStyle w:val="Default"/>
              <w:rPr>
                <w:sz w:val="20"/>
                <w:szCs w:val="20"/>
              </w:rPr>
            </w:pPr>
          </w:p>
          <w:p w:rsidR="0006322E" w:rsidRPr="00613CB5" w:rsidRDefault="0006322E" w:rsidP="00147111">
            <w:pPr>
              <w:pStyle w:val="Default"/>
              <w:rPr>
                <w:sz w:val="20"/>
                <w:szCs w:val="20"/>
              </w:rPr>
            </w:pPr>
            <w:r>
              <w:rPr>
                <w:sz w:val="20"/>
                <w:szCs w:val="20"/>
              </w:rPr>
              <w:t>KS3 1-2-1 tutor (0.</w:t>
            </w:r>
            <w:r w:rsidR="00334F6F">
              <w:rPr>
                <w:sz w:val="20"/>
                <w:szCs w:val="20"/>
              </w:rPr>
              <w:t>6</w:t>
            </w:r>
            <w:r>
              <w:rPr>
                <w:sz w:val="20"/>
                <w:szCs w:val="20"/>
              </w:rPr>
              <w:t xml:space="preserve"> wte) </w:t>
            </w:r>
          </w:p>
        </w:tc>
        <w:tc>
          <w:tcPr>
            <w:tcW w:w="3827" w:type="dxa"/>
          </w:tcPr>
          <w:p w:rsidR="004F5545" w:rsidRDefault="004F5545" w:rsidP="00FB4201">
            <w:pPr>
              <w:pStyle w:val="Default"/>
              <w:rPr>
                <w:sz w:val="20"/>
                <w:szCs w:val="20"/>
              </w:rPr>
            </w:pPr>
          </w:p>
          <w:p w:rsidR="0006322E" w:rsidRDefault="0006322E" w:rsidP="00FB4201">
            <w:pPr>
              <w:pStyle w:val="Default"/>
              <w:rPr>
                <w:sz w:val="20"/>
                <w:szCs w:val="20"/>
              </w:rPr>
            </w:pPr>
            <w:r>
              <w:rPr>
                <w:sz w:val="20"/>
                <w:szCs w:val="20"/>
              </w:rPr>
              <w:t>F</w:t>
            </w:r>
            <w:r w:rsidRPr="00613CB5">
              <w:rPr>
                <w:sz w:val="20"/>
                <w:szCs w:val="20"/>
              </w:rPr>
              <w:t xml:space="preserve">unding </w:t>
            </w:r>
            <w:r>
              <w:rPr>
                <w:sz w:val="20"/>
                <w:szCs w:val="20"/>
              </w:rPr>
              <w:t xml:space="preserve">has been used </w:t>
            </w:r>
            <w:r w:rsidRPr="00613CB5">
              <w:rPr>
                <w:sz w:val="20"/>
                <w:szCs w:val="20"/>
              </w:rPr>
              <w:t xml:space="preserve">to </w:t>
            </w:r>
            <w:r>
              <w:rPr>
                <w:sz w:val="20"/>
                <w:szCs w:val="20"/>
              </w:rPr>
              <w:t xml:space="preserve">continue the work begun in previous years around an </w:t>
            </w:r>
            <w:r w:rsidRPr="00613CB5">
              <w:rPr>
                <w:sz w:val="20"/>
                <w:szCs w:val="20"/>
              </w:rPr>
              <w:t xml:space="preserve">increase </w:t>
            </w:r>
            <w:r>
              <w:rPr>
                <w:sz w:val="20"/>
                <w:szCs w:val="20"/>
              </w:rPr>
              <w:t xml:space="preserve">in </w:t>
            </w:r>
            <w:r w:rsidRPr="00613CB5">
              <w:rPr>
                <w:sz w:val="20"/>
                <w:szCs w:val="20"/>
              </w:rPr>
              <w:t xml:space="preserve">the level of mentoring in this key curriculum area with one to one tuition and smaller class sizes. </w:t>
            </w:r>
          </w:p>
          <w:p w:rsidR="0006322E" w:rsidRDefault="0006322E" w:rsidP="00FB4201">
            <w:pPr>
              <w:pStyle w:val="Default"/>
              <w:rPr>
                <w:sz w:val="20"/>
                <w:szCs w:val="20"/>
              </w:rPr>
            </w:pPr>
          </w:p>
          <w:p w:rsidR="0006322E" w:rsidRPr="00613CB5" w:rsidRDefault="0006322E" w:rsidP="00FB4201">
            <w:pPr>
              <w:pStyle w:val="Default"/>
              <w:rPr>
                <w:sz w:val="20"/>
                <w:szCs w:val="20"/>
              </w:rPr>
            </w:pPr>
            <w:r w:rsidRPr="00613CB5">
              <w:rPr>
                <w:sz w:val="20"/>
                <w:szCs w:val="20"/>
              </w:rPr>
              <w:t xml:space="preserve">It has allowed </w:t>
            </w:r>
            <w:r>
              <w:rPr>
                <w:sz w:val="20"/>
                <w:szCs w:val="20"/>
              </w:rPr>
              <w:t>school</w:t>
            </w:r>
            <w:r w:rsidRPr="00613CB5">
              <w:rPr>
                <w:sz w:val="20"/>
                <w:szCs w:val="20"/>
              </w:rPr>
              <w:t xml:space="preserve"> the ability for individual intervention to boost academic performance</w:t>
            </w:r>
          </w:p>
        </w:tc>
        <w:tc>
          <w:tcPr>
            <w:tcW w:w="1559" w:type="dxa"/>
          </w:tcPr>
          <w:p w:rsidR="0006322E" w:rsidRDefault="0006322E" w:rsidP="00FB4201">
            <w:pPr>
              <w:pStyle w:val="Default"/>
              <w:rPr>
                <w:sz w:val="20"/>
                <w:szCs w:val="20"/>
              </w:rPr>
            </w:pPr>
          </w:p>
          <w:p w:rsidR="0006322E" w:rsidRDefault="0006322E" w:rsidP="00FB4201">
            <w:pPr>
              <w:pStyle w:val="Default"/>
              <w:rPr>
                <w:sz w:val="20"/>
                <w:szCs w:val="20"/>
              </w:rPr>
            </w:pPr>
          </w:p>
          <w:p w:rsidR="0006322E" w:rsidRPr="00613CB5" w:rsidRDefault="0006322E" w:rsidP="00E84B2B">
            <w:pPr>
              <w:pStyle w:val="Default"/>
              <w:rPr>
                <w:sz w:val="20"/>
                <w:szCs w:val="20"/>
              </w:rPr>
            </w:pPr>
            <w:r w:rsidRPr="007D1BC4">
              <w:rPr>
                <w:sz w:val="20"/>
                <w:szCs w:val="20"/>
              </w:rPr>
              <w:t xml:space="preserve">£ </w:t>
            </w:r>
            <w:r w:rsidR="00E84B2B">
              <w:rPr>
                <w:sz w:val="20"/>
                <w:szCs w:val="20"/>
              </w:rPr>
              <w:t>22,800</w:t>
            </w:r>
          </w:p>
        </w:tc>
        <w:tc>
          <w:tcPr>
            <w:tcW w:w="3119" w:type="dxa"/>
          </w:tcPr>
          <w:p w:rsidR="005A4C76" w:rsidRDefault="005A4C76" w:rsidP="00FB4201">
            <w:pPr>
              <w:pStyle w:val="Default"/>
              <w:rPr>
                <w:sz w:val="20"/>
                <w:szCs w:val="20"/>
              </w:rPr>
            </w:pPr>
          </w:p>
          <w:p w:rsidR="00147111" w:rsidRPr="00C81550" w:rsidRDefault="00147111" w:rsidP="004431AD">
            <w:pPr>
              <w:pStyle w:val="Default"/>
              <w:rPr>
                <w:sz w:val="20"/>
                <w:szCs w:val="20"/>
                <w:highlight w:val="yellow"/>
              </w:rPr>
            </w:pPr>
          </w:p>
          <w:p w:rsidR="0006322E" w:rsidRDefault="0006322E" w:rsidP="00C81550">
            <w:pPr>
              <w:pStyle w:val="Default"/>
              <w:rPr>
                <w:sz w:val="20"/>
                <w:szCs w:val="20"/>
              </w:rPr>
            </w:pPr>
          </w:p>
        </w:tc>
      </w:tr>
      <w:tr w:rsidR="0006322E" w:rsidRPr="00613CB5" w:rsidTr="00147111">
        <w:tblPrEx>
          <w:tblCellMar>
            <w:top w:w="0" w:type="dxa"/>
            <w:bottom w:w="0" w:type="dxa"/>
          </w:tblCellMar>
        </w:tblPrEx>
        <w:trPr>
          <w:trHeight w:val="2122"/>
        </w:trPr>
        <w:tc>
          <w:tcPr>
            <w:tcW w:w="2988" w:type="dxa"/>
            <w:tcBorders>
              <w:bottom w:val="single" w:sz="4" w:space="0" w:color="auto"/>
            </w:tcBorders>
          </w:tcPr>
          <w:p w:rsidR="004F5545" w:rsidRDefault="004F5545" w:rsidP="00AE73B7">
            <w:pPr>
              <w:pStyle w:val="Default"/>
              <w:rPr>
                <w:sz w:val="20"/>
                <w:szCs w:val="20"/>
              </w:rPr>
            </w:pPr>
          </w:p>
          <w:p w:rsidR="00E84B2B" w:rsidRDefault="0006322E" w:rsidP="00AE73B7">
            <w:pPr>
              <w:pStyle w:val="Default"/>
              <w:rPr>
                <w:sz w:val="20"/>
                <w:szCs w:val="20"/>
              </w:rPr>
            </w:pPr>
            <w:r>
              <w:rPr>
                <w:sz w:val="20"/>
                <w:szCs w:val="20"/>
              </w:rPr>
              <w:t>Provision of a specific budget for the support of academic opportunity for LAC students</w:t>
            </w:r>
            <w:r w:rsidR="00E84B2B">
              <w:rPr>
                <w:sz w:val="20"/>
                <w:szCs w:val="20"/>
              </w:rPr>
              <w:t xml:space="preserve">. </w:t>
            </w:r>
          </w:p>
          <w:p w:rsidR="00E84B2B" w:rsidRDefault="00E84B2B" w:rsidP="00AE73B7">
            <w:pPr>
              <w:pStyle w:val="Default"/>
              <w:rPr>
                <w:sz w:val="20"/>
                <w:szCs w:val="20"/>
              </w:rPr>
            </w:pPr>
          </w:p>
          <w:p w:rsidR="0006322E" w:rsidRDefault="00E84B2B" w:rsidP="00AE73B7">
            <w:pPr>
              <w:pStyle w:val="Default"/>
              <w:rPr>
                <w:sz w:val="20"/>
                <w:szCs w:val="20"/>
              </w:rPr>
            </w:pPr>
            <w:r>
              <w:rPr>
                <w:sz w:val="20"/>
                <w:szCs w:val="20"/>
              </w:rPr>
              <w:t>Deployment of staff to support student needs</w:t>
            </w:r>
            <w:r w:rsidR="0006322E">
              <w:rPr>
                <w:sz w:val="20"/>
                <w:szCs w:val="20"/>
              </w:rPr>
              <w:t xml:space="preserve"> </w:t>
            </w:r>
          </w:p>
        </w:tc>
        <w:tc>
          <w:tcPr>
            <w:tcW w:w="3261" w:type="dxa"/>
            <w:tcBorders>
              <w:bottom w:val="single" w:sz="4" w:space="0" w:color="auto"/>
            </w:tcBorders>
          </w:tcPr>
          <w:p w:rsidR="004F5545" w:rsidRDefault="004F5545" w:rsidP="00AE73B7">
            <w:pPr>
              <w:pStyle w:val="Default"/>
              <w:rPr>
                <w:sz w:val="20"/>
                <w:szCs w:val="20"/>
              </w:rPr>
            </w:pPr>
          </w:p>
          <w:p w:rsidR="0006322E" w:rsidRDefault="0006322E" w:rsidP="00AE73B7">
            <w:pPr>
              <w:pStyle w:val="Default"/>
              <w:rPr>
                <w:sz w:val="20"/>
                <w:szCs w:val="20"/>
              </w:rPr>
            </w:pPr>
            <w:r>
              <w:rPr>
                <w:sz w:val="20"/>
                <w:szCs w:val="20"/>
              </w:rPr>
              <w:t xml:space="preserve">Through regular assessment and monitoring of students attainments </w:t>
            </w:r>
            <w:proofErr w:type="gramStart"/>
            <w:r>
              <w:rPr>
                <w:sz w:val="20"/>
                <w:szCs w:val="20"/>
              </w:rPr>
              <w:t>needs  and</w:t>
            </w:r>
            <w:proofErr w:type="gramEnd"/>
            <w:r>
              <w:rPr>
                <w:sz w:val="20"/>
                <w:szCs w:val="20"/>
              </w:rPr>
              <w:t xml:space="preserve"> o</w:t>
            </w:r>
            <w:r w:rsidR="00C81550">
              <w:rPr>
                <w:sz w:val="20"/>
                <w:szCs w:val="20"/>
              </w:rPr>
              <w:t>f student specific requirements.</w:t>
            </w:r>
            <w:r w:rsidR="00D93F4E">
              <w:rPr>
                <w:sz w:val="20"/>
                <w:szCs w:val="20"/>
              </w:rPr>
              <w:t xml:space="preserve"> </w:t>
            </w:r>
          </w:p>
          <w:p w:rsidR="00C81550" w:rsidRDefault="00C81550" w:rsidP="00AE73B7">
            <w:pPr>
              <w:pStyle w:val="Default"/>
              <w:rPr>
                <w:sz w:val="20"/>
                <w:szCs w:val="20"/>
              </w:rPr>
            </w:pPr>
          </w:p>
          <w:p w:rsidR="0006322E" w:rsidRDefault="0006322E" w:rsidP="00C96C2C">
            <w:pPr>
              <w:pStyle w:val="Default"/>
              <w:rPr>
                <w:sz w:val="20"/>
                <w:szCs w:val="20"/>
              </w:rPr>
            </w:pPr>
            <w:r>
              <w:rPr>
                <w:sz w:val="20"/>
                <w:szCs w:val="20"/>
              </w:rPr>
              <w:t>Specialist equipment</w:t>
            </w:r>
            <w:r w:rsidR="00C81550">
              <w:rPr>
                <w:sz w:val="20"/>
                <w:szCs w:val="20"/>
              </w:rPr>
              <w:t xml:space="preserve">, </w:t>
            </w:r>
            <w:r>
              <w:rPr>
                <w:sz w:val="20"/>
                <w:szCs w:val="20"/>
              </w:rPr>
              <w:t xml:space="preserve">resources </w:t>
            </w:r>
            <w:r w:rsidR="00C81550">
              <w:rPr>
                <w:sz w:val="20"/>
                <w:szCs w:val="20"/>
              </w:rPr>
              <w:t xml:space="preserve">and additional learning support </w:t>
            </w:r>
            <w:r>
              <w:rPr>
                <w:sz w:val="20"/>
                <w:szCs w:val="20"/>
              </w:rPr>
              <w:t>was made available to support the learning needs of LAC students.</w:t>
            </w:r>
          </w:p>
        </w:tc>
        <w:tc>
          <w:tcPr>
            <w:tcW w:w="3827" w:type="dxa"/>
            <w:tcBorders>
              <w:bottom w:val="single" w:sz="4" w:space="0" w:color="auto"/>
            </w:tcBorders>
          </w:tcPr>
          <w:p w:rsidR="004F5545" w:rsidRDefault="004F5545" w:rsidP="00AE73B7">
            <w:pPr>
              <w:pStyle w:val="Default"/>
              <w:rPr>
                <w:sz w:val="20"/>
                <w:szCs w:val="20"/>
              </w:rPr>
            </w:pPr>
          </w:p>
          <w:p w:rsidR="0006322E" w:rsidRDefault="0006322E" w:rsidP="00AE73B7">
            <w:pPr>
              <w:pStyle w:val="Default"/>
              <w:rPr>
                <w:sz w:val="20"/>
                <w:szCs w:val="20"/>
              </w:rPr>
            </w:pPr>
            <w:r>
              <w:rPr>
                <w:sz w:val="20"/>
                <w:szCs w:val="20"/>
              </w:rPr>
              <w:t>The school is committed to ensuring that LAC students do not miss out on opportunities to enhance their individual attainment levels due to an inability to access necessary resources.</w:t>
            </w:r>
          </w:p>
          <w:p w:rsidR="00E84B2B" w:rsidRDefault="00E84B2B" w:rsidP="00AE73B7">
            <w:pPr>
              <w:pStyle w:val="Default"/>
              <w:rPr>
                <w:sz w:val="20"/>
                <w:szCs w:val="20"/>
              </w:rPr>
            </w:pPr>
          </w:p>
          <w:p w:rsidR="00D93F4E" w:rsidRDefault="00E84B2B" w:rsidP="00AE73B7">
            <w:pPr>
              <w:pStyle w:val="Default"/>
              <w:rPr>
                <w:sz w:val="20"/>
                <w:szCs w:val="20"/>
              </w:rPr>
            </w:pPr>
            <w:r>
              <w:rPr>
                <w:sz w:val="20"/>
                <w:szCs w:val="20"/>
              </w:rPr>
              <w:t xml:space="preserve">Staff are deployed to support students impacted within this important area </w:t>
            </w:r>
          </w:p>
          <w:p w:rsidR="00D93F4E" w:rsidRDefault="00D93F4E" w:rsidP="00AE73B7">
            <w:pPr>
              <w:pStyle w:val="Default"/>
              <w:rPr>
                <w:sz w:val="20"/>
                <w:szCs w:val="20"/>
              </w:rPr>
            </w:pPr>
          </w:p>
        </w:tc>
        <w:tc>
          <w:tcPr>
            <w:tcW w:w="1559" w:type="dxa"/>
            <w:tcBorders>
              <w:bottom w:val="single" w:sz="4" w:space="0" w:color="auto"/>
            </w:tcBorders>
          </w:tcPr>
          <w:p w:rsidR="0006322E" w:rsidRDefault="0006322E" w:rsidP="00AE73B7">
            <w:pPr>
              <w:pStyle w:val="Default"/>
              <w:rPr>
                <w:sz w:val="20"/>
                <w:szCs w:val="20"/>
              </w:rPr>
            </w:pPr>
          </w:p>
          <w:p w:rsidR="0006322E" w:rsidRDefault="0006322E" w:rsidP="00AE73B7">
            <w:pPr>
              <w:pStyle w:val="Default"/>
              <w:rPr>
                <w:sz w:val="20"/>
                <w:szCs w:val="20"/>
              </w:rPr>
            </w:pPr>
            <w:r w:rsidRPr="001A46B5">
              <w:rPr>
                <w:sz w:val="20"/>
                <w:szCs w:val="20"/>
              </w:rPr>
              <w:t>£</w:t>
            </w:r>
            <w:r w:rsidR="001A46B5" w:rsidRPr="001A46B5">
              <w:rPr>
                <w:sz w:val="20"/>
                <w:szCs w:val="20"/>
              </w:rPr>
              <w:t>13,417</w:t>
            </w:r>
          </w:p>
          <w:p w:rsidR="00E84B2B" w:rsidRDefault="00E84B2B" w:rsidP="00AE73B7">
            <w:pPr>
              <w:pStyle w:val="Default"/>
              <w:rPr>
                <w:sz w:val="20"/>
                <w:szCs w:val="20"/>
              </w:rPr>
            </w:pPr>
          </w:p>
          <w:p w:rsidR="00E84B2B" w:rsidRDefault="00E84B2B" w:rsidP="00AE73B7">
            <w:pPr>
              <w:pStyle w:val="Default"/>
              <w:rPr>
                <w:sz w:val="20"/>
                <w:szCs w:val="20"/>
              </w:rPr>
            </w:pPr>
          </w:p>
        </w:tc>
        <w:tc>
          <w:tcPr>
            <w:tcW w:w="3119" w:type="dxa"/>
            <w:tcBorders>
              <w:bottom w:val="single" w:sz="4" w:space="0" w:color="auto"/>
            </w:tcBorders>
          </w:tcPr>
          <w:p w:rsidR="0006322E" w:rsidRDefault="0006322E" w:rsidP="00FD5DBC">
            <w:pPr>
              <w:pStyle w:val="Default"/>
              <w:rPr>
                <w:sz w:val="20"/>
                <w:szCs w:val="20"/>
              </w:rPr>
            </w:pPr>
          </w:p>
        </w:tc>
      </w:tr>
      <w:tr w:rsidR="0006322E" w:rsidRPr="00613CB5" w:rsidTr="00C96C2C">
        <w:tblPrEx>
          <w:tblCellMar>
            <w:top w:w="0" w:type="dxa"/>
            <w:bottom w:w="0" w:type="dxa"/>
          </w:tblCellMar>
        </w:tblPrEx>
        <w:trPr>
          <w:trHeight w:val="2214"/>
        </w:trPr>
        <w:tc>
          <w:tcPr>
            <w:tcW w:w="2988" w:type="dxa"/>
            <w:tcBorders>
              <w:bottom w:val="single" w:sz="4" w:space="0" w:color="auto"/>
            </w:tcBorders>
          </w:tcPr>
          <w:p w:rsidR="004F5545" w:rsidRDefault="004F5545" w:rsidP="00AE73B7">
            <w:pPr>
              <w:pStyle w:val="Default"/>
              <w:rPr>
                <w:sz w:val="20"/>
                <w:szCs w:val="20"/>
              </w:rPr>
            </w:pPr>
          </w:p>
          <w:p w:rsidR="00C96C2C" w:rsidRDefault="0006322E" w:rsidP="00C96C2C">
            <w:pPr>
              <w:pStyle w:val="Default"/>
              <w:rPr>
                <w:sz w:val="20"/>
                <w:szCs w:val="20"/>
              </w:rPr>
            </w:pPr>
            <w:r>
              <w:rPr>
                <w:sz w:val="20"/>
                <w:szCs w:val="20"/>
              </w:rPr>
              <w:t>Continue and develop support programmes</w:t>
            </w:r>
            <w:r w:rsidRPr="00613CB5">
              <w:rPr>
                <w:sz w:val="20"/>
                <w:szCs w:val="20"/>
              </w:rPr>
              <w:t xml:space="preserve"> </w:t>
            </w:r>
            <w:r>
              <w:rPr>
                <w:sz w:val="20"/>
                <w:szCs w:val="20"/>
              </w:rPr>
              <w:t xml:space="preserve">for very vulnerable KS3 students, </w:t>
            </w:r>
            <w:r w:rsidRPr="00613CB5">
              <w:rPr>
                <w:sz w:val="20"/>
                <w:szCs w:val="20"/>
              </w:rPr>
              <w:t xml:space="preserve">in each of Years 7, 8 and 9, along with working with primary partner </w:t>
            </w:r>
            <w:r>
              <w:rPr>
                <w:sz w:val="20"/>
                <w:szCs w:val="20"/>
              </w:rPr>
              <w:t>schools to enhance the primary/</w:t>
            </w:r>
            <w:r w:rsidRPr="00613CB5">
              <w:rPr>
                <w:sz w:val="20"/>
                <w:szCs w:val="20"/>
              </w:rPr>
              <w:t>secondary transition process.</w:t>
            </w:r>
          </w:p>
        </w:tc>
        <w:tc>
          <w:tcPr>
            <w:tcW w:w="3261" w:type="dxa"/>
            <w:tcBorders>
              <w:bottom w:val="single" w:sz="4" w:space="0" w:color="auto"/>
            </w:tcBorders>
          </w:tcPr>
          <w:p w:rsidR="004F5545" w:rsidRDefault="004F5545" w:rsidP="00AE73B7">
            <w:pPr>
              <w:pStyle w:val="Default"/>
              <w:rPr>
                <w:sz w:val="20"/>
                <w:szCs w:val="20"/>
              </w:rPr>
            </w:pPr>
          </w:p>
          <w:p w:rsidR="0006322E" w:rsidRDefault="0006322E" w:rsidP="00AE73B7">
            <w:pPr>
              <w:pStyle w:val="Default"/>
              <w:rPr>
                <w:sz w:val="20"/>
                <w:szCs w:val="20"/>
              </w:rPr>
            </w:pPr>
            <w:r>
              <w:rPr>
                <w:sz w:val="20"/>
                <w:szCs w:val="20"/>
              </w:rPr>
              <w:t xml:space="preserve">CAU </w:t>
            </w:r>
            <w:r w:rsidR="001A46B5">
              <w:rPr>
                <w:sz w:val="20"/>
                <w:szCs w:val="20"/>
              </w:rPr>
              <w:t>Support</w:t>
            </w:r>
            <w:r>
              <w:rPr>
                <w:sz w:val="20"/>
                <w:szCs w:val="20"/>
              </w:rPr>
              <w:t xml:space="preserve"> (</w:t>
            </w:r>
            <w:r w:rsidR="00D93F4E">
              <w:rPr>
                <w:sz w:val="20"/>
                <w:szCs w:val="20"/>
              </w:rPr>
              <w:t>0.6</w:t>
            </w:r>
            <w:r>
              <w:rPr>
                <w:sz w:val="20"/>
                <w:szCs w:val="20"/>
              </w:rPr>
              <w:t xml:space="preserve"> wte), </w:t>
            </w:r>
          </w:p>
          <w:p w:rsidR="0006322E" w:rsidRDefault="0006322E" w:rsidP="00AE73B7">
            <w:pPr>
              <w:pStyle w:val="Default"/>
              <w:rPr>
                <w:sz w:val="20"/>
                <w:szCs w:val="20"/>
              </w:rPr>
            </w:pPr>
            <w:r>
              <w:rPr>
                <w:sz w:val="20"/>
                <w:szCs w:val="20"/>
              </w:rPr>
              <w:t xml:space="preserve">TA1 (1 wte),                        </w:t>
            </w:r>
          </w:p>
          <w:p w:rsidR="0006322E" w:rsidRDefault="0006322E" w:rsidP="00AE73B7">
            <w:pPr>
              <w:pStyle w:val="Default"/>
              <w:rPr>
                <w:sz w:val="20"/>
                <w:szCs w:val="20"/>
              </w:rPr>
            </w:pPr>
            <w:r>
              <w:rPr>
                <w:sz w:val="20"/>
                <w:szCs w:val="20"/>
              </w:rPr>
              <w:t>Multi sports Coach (</w:t>
            </w:r>
            <w:r w:rsidR="00334F6F">
              <w:rPr>
                <w:sz w:val="20"/>
                <w:szCs w:val="20"/>
              </w:rPr>
              <w:t>1</w:t>
            </w:r>
            <w:r>
              <w:rPr>
                <w:sz w:val="20"/>
                <w:szCs w:val="20"/>
              </w:rPr>
              <w:t xml:space="preserve">), </w:t>
            </w:r>
          </w:p>
          <w:p w:rsidR="0006322E" w:rsidRDefault="0006322E" w:rsidP="00AE73B7">
            <w:pPr>
              <w:pStyle w:val="Default"/>
              <w:rPr>
                <w:sz w:val="20"/>
                <w:szCs w:val="20"/>
              </w:rPr>
            </w:pPr>
            <w:r>
              <w:rPr>
                <w:sz w:val="20"/>
                <w:szCs w:val="20"/>
              </w:rPr>
              <w:t xml:space="preserve">Primary Co-ordinator.                   </w:t>
            </w:r>
          </w:p>
          <w:p w:rsidR="0006322E" w:rsidRDefault="0006322E" w:rsidP="00AE73B7">
            <w:pPr>
              <w:pStyle w:val="Default"/>
              <w:rPr>
                <w:sz w:val="20"/>
                <w:szCs w:val="20"/>
              </w:rPr>
            </w:pPr>
            <w:r>
              <w:rPr>
                <w:sz w:val="20"/>
                <w:szCs w:val="20"/>
              </w:rPr>
              <w:t xml:space="preserve">Event costs , Physical Resources ,              </w:t>
            </w:r>
          </w:p>
          <w:p w:rsidR="0006322E" w:rsidRPr="00613CB5" w:rsidRDefault="0006322E" w:rsidP="00AE73B7">
            <w:pPr>
              <w:pStyle w:val="Default"/>
              <w:rPr>
                <w:sz w:val="20"/>
                <w:szCs w:val="20"/>
              </w:rPr>
            </w:pPr>
            <w:r>
              <w:rPr>
                <w:sz w:val="20"/>
                <w:szCs w:val="20"/>
              </w:rPr>
              <w:t xml:space="preserve">SNSSP provision, BEP provision </w:t>
            </w:r>
          </w:p>
        </w:tc>
        <w:tc>
          <w:tcPr>
            <w:tcW w:w="3827" w:type="dxa"/>
            <w:tcBorders>
              <w:bottom w:val="single" w:sz="4" w:space="0" w:color="auto"/>
            </w:tcBorders>
          </w:tcPr>
          <w:p w:rsidR="004F5545" w:rsidRDefault="004F5545" w:rsidP="00AE73B7">
            <w:pPr>
              <w:pStyle w:val="Default"/>
              <w:rPr>
                <w:sz w:val="20"/>
                <w:szCs w:val="20"/>
              </w:rPr>
            </w:pPr>
          </w:p>
          <w:p w:rsidR="005A4C76" w:rsidRPr="005A4C76" w:rsidRDefault="0006322E" w:rsidP="00C96C2C">
            <w:pPr>
              <w:pStyle w:val="Default"/>
              <w:rPr>
                <w:sz w:val="36"/>
                <w:szCs w:val="36"/>
              </w:rPr>
            </w:pPr>
            <w:r>
              <w:rPr>
                <w:sz w:val="20"/>
                <w:szCs w:val="20"/>
              </w:rPr>
              <w:t xml:space="preserve">Funding has allowed for the </w:t>
            </w:r>
            <w:r w:rsidRPr="00613CB5">
              <w:rPr>
                <w:sz w:val="20"/>
                <w:szCs w:val="20"/>
              </w:rPr>
              <w:t>co</w:t>
            </w:r>
            <w:r>
              <w:rPr>
                <w:sz w:val="20"/>
                <w:szCs w:val="20"/>
              </w:rPr>
              <w:t>ntinuation and further development of a</w:t>
            </w:r>
            <w:r w:rsidRPr="00613CB5">
              <w:rPr>
                <w:sz w:val="20"/>
                <w:szCs w:val="20"/>
              </w:rPr>
              <w:t xml:space="preserve"> transition programme, coordinated at Senior </w:t>
            </w:r>
            <w:r>
              <w:rPr>
                <w:sz w:val="20"/>
                <w:szCs w:val="20"/>
              </w:rPr>
              <w:t>Leadership</w:t>
            </w:r>
            <w:r w:rsidRPr="00613CB5">
              <w:rPr>
                <w:sz w:val="20"/>
                <w:szCs w:val="20"/>
              </w:rPr>
              <w:t xml:space="preserve"> level, </w:t>
            </w:r>
            <w:r>
              <w:rPr>
                <w:sz w:val="20"/>
                <w:szCs w:val="20"/>
              </w:rPr>
              <w:t>and supported by the Transition Mentor</w:t>
            </w:r>
            <w:r w:rsidR="00C96C2C">
              <w:rPr>
                <w:sz w:val="20"/>
                <w:szCs w:val="20"/>
              </w:rPr>
              <w:t>.</w:t>
            </w:r>
          </w:p>
        </w:tc>
        <w:tc>
          <w:tcPr>
            <w:tcW w:w="1559" w:type="dxa"/>
            <w:tcBorders>
              <w:bottom w:val="single" w:sz="4" w:space="0" w:color="auto"/>
            </w:tcBorders>
          </w:tcPr>
          <w:p w:rsidR="004F5545" w:rsidRDefault="004F5545" w:rsidP="00AE73B7">
            <w:pPr>
              <w:pStyle w:val="Default"/>
              <w:rPr>
                <w:sz w:val="20"/>
                <w:szCs w:val="20"/>
              </w:rPr>
            </w:pPr>
          </w:p>
          <w:p w:rsidR="0006322E" w:rsidRDefault="0006322E" w:rsidP="007D1BC4">
            <w:pPr>
              <w:pStyle w:val="Default"/>
              <w:rPr>
                <w:sz w:val="20"/>
                <w:szCs w:val="20"/>
              </w:rPr>
            </w:pPr>
            <w:r w:rsidRPr="002A671F">
              <w:rPr>
                <w:sz w:val="20"/>
                <w:szCs w:val="20"/>
              </w:rPr>
              <w:t>£</w:t>
            </w:r>
            <w:r w:rsidR="002A671F" w:rsidRPr="002A671F">
              <w:rPr>
                <w:sz w:val="20"/>
                <w:szCs w:val="20"/>
              </w:rPr>
              <w:t>34,828</w:t>
            </w:r>
          </w:p>
          <w:p w:rsidR="002A671F" w:rsidRDefault="002A671F" w:rsidP="007D1BC4">
            <w:pPr>
              <w:pStyle w:val="Default"/>
              <w:rPr>
                <w:sz w:val="20"/>
                <w:szCs w:val="20"/>
              </w:rPr>
            </w:pPr>
          </w:p>
          <w:p w:rsidR="002A671F" w:rsidRPr="00613CB5" w:rsidRDefault="002A671F" w:rsidP="007D1BC4">
            <w:pPr>
              <w:pStyle w:val="Default"/>
              <w:rPr>
                <w:sz w:val="20"/>
                <w:szCs w:val="20"/>
              </w:rPr>
            </w:pPr>
          </w:p>
        </w:tc>
        <w:tc>
          <w:tcPr>
            <w:tcW w:w="3119" w:type="dxa"/>
            <w:tcBorders>
              <w:bottom w:val="single" w:sz="4" w:space="0" w:color="auto"/>
            </w:tcBorders>
          </w:tcPr>
          <w:p w:rsidR="004F5545" w:rsidRDefault="004F5545" w:rsidP="00AE73B7">
            <w:pPr>
              <w:pStyle w:val="Default"/>
              <w:rPr>
                <w:sz w:val="20"/>
                <w:szCs w:val="20"/>
              </w:rPr>
            </w:pPr>
          </w:p>
          <w:p w:rsidR="00E46776" w:rsidRDefault="003B1692" w:rsidP="003B1692">
            <w:pPr>
              <w:pStyle w:val="NormalWeb"/>
              <w:rPr>
                <w:sz w:val="20"/>
                <w:szCs w:val="20"/>
              </w:rPr>
            </w:pPr>
            <w:r w:rsidRPr="00DC4002">
              <w:rPr>
                <w:rFonts w:ascii="Calibri" w:hAnsi="Calibri" w:cs="Calibri"/>
                <w:color w:val="0D0D0D"/>
                <w:sz w:val="20"/>
                <w:szCs w:val="20"/>
              </w:rPr>
              <w:t xml:space="preserve">In the CAU pupils on average improved their numeracy age by +2.4 years.  Pupils in the Aquinas centre improved their word reading on average by +1.8 years, comprehension age by +1.0 years and spelling by +1.4 years. </w:t>
            </w:r>
          </w:p>
        </w:tc>
      </w:tr>
      <w:tr w:rsidR="0006322E" w:rsidRPr="00613CB5" w:rsidTr="00C47757">
        <w:tblPrEx>
          <w:tblCellMar>
            <w:top w:w="0" w:type="dxa"/>
            <w:bottom w:w="0" w:type="dxa"/>
          </w:tblCellMar>
        </w:tblPrEx>
        <w:trPr>
          <w:trHeight w:val="380"/>
        </w:trPr>
        <w:tc>
          <w:tcPr>
            <w:tcW w:w="14754" w:type="dxa"/>
            <w:gridSpan w:val="5"/>
            <w:shd w:val="clear" w:color="auto" w:fill="BFBFBF"/>
          </w:tcPr>
          <w:p w:rsidR="0006322E" w:rsidRPr="009277D6" w:rsidRDefault="0006322E" w:rsidP="00FD5DBC">
            <w:pPr>
              <w:pStyle w:val="Default"/>
              <w:rPr>
                <w:b/>
                <w:sz w:val="28"/>
                <w:szCs w:val="28"/>
              </w:rPr>
            </w:pPr>
            <w:r w:rsidRPr="009277D6">
              <w:rPr>
                <w:b/>
                <w:sz w:val="28"/>
                <w:szCs w:val="28"/>
              </w:rPr>
              <w:t>Enrichment</w:t>
            </w:r>
          </w:p>
        </w:tc>
      </w:tr>
      <w:tr w:rsidR="0006322E" w:rsidRPr="00613CB5" w:rsidTr="00C47757">
        <w:tblPrEx>
          <w:tblCellMar>
            <w:top w:w="0" w:type="dxa"/>
            <w:bottom w:w="0" w:type="dxa"/>
          </w:tblCellMar>
        </w:tblPrEx>
        <w:trPr>
          <w:trHeight w:val="1584"/>
        </w:trPr>
        <w:tc>
          <w:tcPr>
            <w:tcW w:w="2988" w:type="dxa"/>
          </w:tcPr>
          <w:p w:rsidR="00E46776" w:rsidRDefault="00E46776" w:rsidP="00AE73B7">
            <w:pPr>
              <w:pStyle w:val="Default"/>
              <w:rPr>
                <w:sz w:val="20"/>
                <w:szCs w:val="20"/>
              </w:rPr>
            </w:pPr>
          </w:p>
          <w:p w:rsidR="0006322E" w:rsidRDefault="0006322E" w:rsidP="00AE73B7">
            <w:pPr>
              <w:pStyle w:val="Default"/>
              <w:rPr>
                <w:sz w:val="20"/>
                <w:szCs w:val="20"/>
              </w:rPr>
            </w:pPr>
            <w:r w:rsidRPr="00613CB5">
              <w:rPr>
                <w:sz w:val="20"/>
                <w:szCs w:val="20"/>
              </w:rPr>
              <w:t xml:space="preserve">To ‘narrow the gap’, in terms of extra curriculum facilities, </w:t>
            </w:r>
            <w:r w:rsidRPr="00613CB5">
              <w:rPr>
                <w:b/>
                <w:bCs/>
                <w:sz w:val="20"/>
                <w:szCs w:val="20"/>
              </w:rPr>
              <w:t xml:space="preserve">musical instrument tuition. </w:t>
            </w:r>
            <w:r>
              <w:rPr>
                <w:sz w:val="20"/>
                <w:szCs w:val="20"/>
              </w:rPr>
              <w:t>LA funding removed Sept 2011</w:t>
            </w:r>
          </w:p>
        </w:tc>
        <w:tc>
          <w:tcPr>
            <w:tcW w:w="3261" w:type="dxa"/>
          </w:tcPr>
          <w:p w:rsidR="00E46776" w:rsidRDefault="00E46776" w:rsidP="00AE73B7">
            <w:pPr>
              <w:pStyle w:val="Default"/>
              <w:rPr>
                <w:sz w:val="20"/>
                <w:szCs w:val="20"/>
              </w:rPr>
            </w:pPr>
          </w:p>
          <w:p w:rsidR="0006322E" w:rsidRPr="00613CB5" w:rsidRDefault="0006322E" w:rsidP="00AE73B7">
            <w:pPr>
              <w:pStyle w:val="Default"/>
              <w:rPr>
                <w:sz w:val="20"/>
                <w:szCs w:val="20"/>
              </w:rPr>
            </w:pPr>
            <w:r w:rsidRPr="00613CB5">
              <w:rPr>
                <w:sz w:val="20"/>
                <w:szCs w:val="20"/>
              </w:rPr>
              <w:t>Cost of service from Music Service</w:t>
            </w:r>
            <w:r>
              <w:rPr>
                <w:sz w:val="20"/>
                <w:szCs w:val="20"/>
              </w:rPr>
              <w:t xml:space="preserve"> and peripatetic tutors </w:t>
            </w:r>
          </w:p>
        </w:tc>
        <w:tc>
          <w:tcPr>
            <w:tcW w:w="3827" w:type="dxa"/>
          </w:tcPr>
          <w:p w:rsidR="00E46776" w:rsidRDefault="00E46776" w:rsidP="00AE73B7">
            <w:pPr>
              <w:pStyle w:val="Default"/>
              <w:rPr>
                <w:sz w:val="20"/>
                <w:szCs w:val="20"/>
              </w:rPr>
            </w:pPr>
          </w:p>
          <w:p w:rsidR="0006322E" w:rsidRPr="00613CB5" w:rsidRDefault="0006322E" w:rsidP="00BE6781">
            <w:pPr>
              <w:pStyle w:val="Default"/>
              <w:rPr>
                <w:sz w:val="20"/>
                <w:szCs w:val="20"/>
              </w:rPr>
            </w:pPr>
            <w:r w:rsidRPr="00613CB5">
              <w:rPr>
                <w:sz w:val="20"/>
                <w:szCs w:val="20"/>
              </w:rPr>
              <w:t xml:space="preserve">The </w:t>
            </w:r>
            <w:r>
              <w:rPr>
                <w:sz w:val="20"/>
                <w:szCs w:val="20"/>
              </w:rPr>
              <w:t>school</w:t>
            </w:r>
            <w:r w:rsidRPr="00613CB5">
              <w:rPr>
                <w:sz w:val="20"/>
                <w:szCs w:val="20"/>
              </w:rPr>
              <w:t xml:space="preserve"> </w:t>
            </w:r>
            <w:r>
              <w:rPr>
                <w:sz w:val="20"/>
                <w:szCs w:val="20"/>
              </w:rPr>
              <w:t>is</w:t>
            </w:r>
            <w:r w:rsidRPr="00613CB5">
              <w:rPr>
                <w:sz w:val="20"/>
                <w:szCs w:val="20"/>
              </w:rPr>
              <w:t xml:space="preserve"> able to </w:t>
            </w:r>
            <w:r>
              <w:rPr>
                <w:sz w:val="20"/>
                <w:szCs w:val="20"/>
              </w:rPr>
              <w:t xml:space="preserve">continue to </w:t>
            </w:r>
            <w:r w:rsidRPr="00613CB5">
              <w:rPr>
                <w:sz w:val="20"/>
                <w:szCs w:val="20"/>
              </w:rPr>
              <w:t>offer students the opportunity to continue and commence personalised musical instrument tuition</w:t>
            </w:r>
            <w:r w:rsidR="00D93F4E">
              <w:rPr>
                <w:sz w:val="20"/>
                <w:szCs w:val="20"/>
              </w:rPr>
              <w:t xml:space="preserve"> at GCSE level</w:t>
            </w:r>
            <w:r w:rsidRPr="00613CB5">
              <w:rPr>
                <w:sz w:val="20"/>
                <w:szCs w:val="20"/>
              </w:rPr>
              <w:t>, from the Music Services, after the existing funding stream for these students was removed.</w:t>
            </w:r>
          </w:p>
        </w:tc>
        <w:tc>
          <w:tcPr>
            <w:tcW w:w="1559" w:type="dxa"/>
          </w:tcPr>
          <w:p w:rsidR="0006322E" w:rsidRDefault="0006322E" w:rsidP="00AE73B7">
            <w:pPr>
              <w:pStyle w:val="Default"/>
              <w:rPr>
                <w:sz w:val="20"/>
                <w:szCs w:val="20"/>
              </w:rPr>
            </w:pPr>
            <w:r w:rsidRPr="00613CB5">
              <w:rPr>
                <w:sz w:val="20"/>
                <w:szCs w:val="20"/>
              </w:rPr>
              <w:t>.</w:t>
            </w:r>
          </w:p>
          <w:p w:rsidR="0006322E" w:rsidRPr="00613CB5" w:rsidRDefault="002A671F" w:rsidP="002A671F">
            <w:pPr>
              <w:pStyle w:val="Default"/>
              <w:rPr>
                <w:sz w:val="20"/>
                <w:szCs w:val="20"/>
              </w:rPr>
            </w:pPr>
            <w:r>
              <w:rPr>
                <w:sz w:val="20"/>
                <w:szCs w:val="20"/>
              </w:rPr>
              <w:t>£20,000</w:t>
            </w:r>
          </w:p>
        </w:tc>
        <w:tc>
          <w:tcPr>
            <w:tcW w:w="3119" w:type="dxa"/>
          </w:tcPr>
          <w:p w:rsidR="0006322E" w:rsidRDefault="0006322E" w:rsidP="00AE73B7">
            <w:pPr>
              <w:pStyle w:val="Default"/>
              <w:rPr>
                <w:sz w:val="20"/>
                <w:szCs w:val="20"/>
              </w:rPr>
            </w:pPr>
          </w:p>
          <w:p w:rsidR="0006322E" w:rsidRPr="00613CB5" w:rsidRDefault="0006322E" w:rsidP="00E46776">
            <w:pPr>
              <w:pStyle w:val="Default"/>
              <w:rPr>
                <w:sz w:val="20"/>
                <w:szCs w:val="20"/>
              </w:rPr>
            </w:pPr>
            <w:r w:rsidRPr="00613CB5">
              <w:rPr>
                <w:sz w:val="20"/>
                <w:szCs w:val="20"/>
              </w:rPr>
              <w:t>Students engage well</w:t>
            </w:r>
            <w:r>
              <w:rPr>
                <w:sz w:val="20"/>
                <w:szCs w:val="20"/>
              </w:rPr>
              <w:t xml:space="preserve"> and </w:t>
            </w:r>
            <w:r w:rsidR="00E46776">
              <w:rPr>
                <w:sz w:val="20"/>
                <w:szCs w:val="20"/>
              </w:rPr>
              <w:t>have enjoyed wider opportunities to perform and gain valuable experience in the community.</w:t>
            </w:r>
            <w:r w:rsidR="007D1BC4">
              <w:rPr>
                <w:sz w:val="20"/>
                <w:szCs w:val="20"/>
              </w:rPr>
              <w:t xml:space="preserve"> </w:t>
            </w:r>
          </w:p>
        </w:tc>
      </w:tr>
      <w:tr w:rsidR="0006322E" w:rsidRPr="00613CB5" w:rsidTr="00C47757">
        <w:tblPrEx>
          <w:tblCellMar>
            <w:top w:w="0" w:type="dxa"/>
            <w:bottom w:w="0" w:type="dxa"/>
          </w:tblCellMar>
        </w:tblPrEx>
        <w:trPr>
          <w:trHeight w:val="1584"/>
        </w:trPr>
        <w:tc>
          <w:tcPr>
            <w:tcW w:w="2988" w:type="dxa"/>
            <w:tcBorders>
              <w:bottom w:val="single" w:sz="4" w:space="0" w:color="auto"/>
            </w:tcBorders>
          </w:tcPr>
          <w:p w:rsidR="00E46776" w:rsidRDefault="00E46776" w:rsidP="00E46776">
            <w:pPr>
              <w:pStyle w:val="Default"/>
              <w:rPr>
                <w:sz w:val="20"/>
                <w:szCs w:val="20"/>
              </w:rPr>
            </w:pPr>
          </w:p>
          <w:p w:rsidR="0006322E" w:rsidRDefault="0006322E" w:rsidP="00E46776">
            <w:pPr>
              <w:pStyle w:val="Default"/>
              <w:rPr>
                <w:sz w:val="20"/>
                <w:szCs w:val="20"/>
              </w:rPr>
            </w:pPr>
            <w:r>
              <w:rPr>
                <w:sz w:val="20"/>
                <w:szCs w:val="20"/>
              </w:rPr>
              <w:t xml:space="preserve">Provision of targeted reward interventions for year 11 students who are PP eligible and who have been identified as being in need of additional </w:t>
            </w:r>
            <w:r w:rsidR="0005760E">
              <w:rPr>
                <w:sz w:val="20"/>
                <w:szCs w:val="20"/>
              </w:rPr>
              <w:t>focused</w:t>
            </w:r>
            <w:r>
              <w:rPr>
                <w:sz w:val="20"/>
                <w:szCs w:val="20"/>
              </w:rPr>
              <w:t xml:space="preserve"> academic support.</w:t>
            </w:r>
          </w:p>
        </w:tc>
        <w:tc>
          <w:tcPr>
            <w:tcW w:w="3261" w:type="dxa"/>
            <w:tcBorders>
              <w:bottom w:val="single" w:sz="4" w:space="0" w:color="auto"/>
            </w:tcBorders>
          </w:tcPr>
          <w:p w:rsidR="00E46776" w:rsidRDefault="00E46776" w:rsidP="00FD5DBC">
            <w:pPr>
              <w:pStyle w:val="Default"/>
              <w:rPr>
                <w:sz w:val="20"/>
                <w:szCs w:val="20"/>
              </w:rPr>
            </w:pPr>
          </w:p>
          <w:p w:rsidR="0006322E" w:rsidRDefault="0006322E" w:rsidP="00FD5DBC">
            <w:pPr>
              <w:pStyle w:val="Default"/>
              <w:rPr>
                <w:sz w:val="20"/>
                <w:szCs w:val="20"/>
              </w:rPr>
            </w:pPr>
            <w:r>
              <w:rPr>
                <w:sz w:val="20"/>
                <w:szCs w:val="20"/>
              </w:rPr>
              <w:t xml:space="preserve">Deployment of SLT </w:t>
            </w:r>
            <w:r w:rsidR="006072FC">
              <w:rPr>
                <w:sz w:val="20"/>
                <w:szCs w:val="20"/>
              </w:rPr>
              <w:t xml:space="preserve">and key </w:t>
            </w:r>
            <w:r>
              <w:rPr>
                <w:sz w:val="20"/>
                <w:szCs w:val="20"/>
              </w:rPr>
              <w:t>staff to act as individual/small group mentors in an attempt to increase the attainment levels of a targeted group of students.</w:t>
            </w:r>
          </w:p>
        </w:tc>
        <w:tc>
          <w:tcPr>
            <w:tcW w:w="3827" w:type="dxa"/>
            <w:tcBorders>
              <w:bottom w:val="single" w:sz="4" w:space="0" w:color="auto"/>
            </w:tcBorders>
          </w:tcPr>
          <w:p w:rsidR="00E46776" w:rsidRDefault="00E46776" w:rsidP="00FD5DBC">
            <w:pPr>
              <w:pStyle w:val="Default"/>
              <w:rPr>
                <w:sz w:val="20"/>
                <w:szCs w:val="20"/>
              </w:rPr>
            </w:pPr>
          </w:p>
          <w:p w:rsidR="0006322E" w:rsidRDefault="0006322E" w:rsidP="00FD5DBC">
            <w:pPr>
              <w:pStyle w:val="Default"/>
              <w:rPr>
                <w:sz w:val="20"/>
                <w:szCs w:val="20"/>
              </w:rPr>
            </w:pPr>
            <w:r>
              <w:rPr>
                <w:sz w:val="20"/>
                <w:szCs w:val="20"/>
              </w:rPr>
              <w:t>The school is committed to ensuring that all students achieve the very best that they can in all subjects. Through identification of vulnerable cohorts the school can better support their individual learning needs.</w:t>
            </w:r>
          </w:p>
        </w:tc>
        <w:tc>
          <w:tcPr>
            <w:tcW w:w="1559" w:type="dxa"/>
            <w:tcBorders>
              <w:bottom w:val="single" w:sz="4" w:space="0" w:color="auto"/>
            </w:tcBorders>
          </w:tcPr>
          <w:p w:rsidR="0006322E" w:rsidRDefault="0006322E" w:rsidP="00FD5DBC">
            <w:pPr>
              <w:pStyle w:val="Default"/>
              <w:rPr>
                <w:sz w:val="20"/>
                <w:szCs w:val="20"/>
              </w:rPr>
            </w:pPr>
          </w:p>
          <w:p w:rsidR="0006322E" w:rsidRDefault="002A671F" w:rsidP="007D1BC4">
            <w:pPr>
              <w:pStyle w:val="Default"/>
              <w:rPr>
                <w:sz w:val="20"/>
                <w:szCs w:val="20"/>
              </w:rPr>
            </w:pPr>
            <w:r>
              <w:rPr>
                <w:sz w:val="20"/>
                <w:szCs w:val="20"/>
              </w:rPr>
              <w:t>£4,200</w:t>
            </w:r>
          </w:p>
        </w:tc>
        <w:tc>
          <w:tcPr>
            <w:tcW w:w="3119" w:type="dxa"/>
            <w:tcBorders>
              <w:bottom w:val="single" w:sz="4" w:space="0" w:color="auto"/>
            </w:tcBorders>
          </w:tcPr>
          <w:p w:rsidR="0006322E" w:rsidRDefault="0006322E" w:rsidP="00FD5DBC">
            <w:pPr>
              <w:pStyle w:val="Default"/>
              <w:rPr>
                <w:sz w:val="20"/>
                <w:szCs w:val="20"/>
              </w:rPr>
            </w:pPr>
          </w:p>
          <w:p w:rsidR="0006322E" w:rsidRDefault="00D93F4E" w:rsidP="00FD5DBC">
            <w:pPr>
              <w:pStyle w:val="Default"/>
              <w:rPr>
                <w:sz w:val="20"/>
                <w:szCs w:val="20"/>
              </w:rPr>
            </w:pPr>
            <w:r>
              <w:rPr>
                <w:sz w:val="20"/>
                <w:szCs w:val="20"/>
              </w:rPr>
              <w:t xml:space="preserve">It is difficult to extract hard data for this area and claim attainment success overtime, soft data is evident in the form of increased relationships, confidence of students and staff understanding of student needs.   </w:t>
            </w:r>
          </w:p>
          <w:p w:rsidR="00D93F4E" w:rsidRDefault="00D93F4E" w:rsidP="00FD5DBC">
            <w:pPr>
              <w:pStyle w:val="Default"/>
              <w:rPr>
                <w:sz w:val="20"/>
                <w:szCs w:val="20"/>
              </w:rPr>
            </w:pPr>
          </w:p>
          <w:p w:rsidR="00D93F4E" w:rsidRDefault="00D93F4E" w:rsidP="00C96C2C">
            <w:pPr>
              <w:pStyle w:val="Default"/>
              <w:rPr>
                <w:sz w:val="20"/>
                <w:szCs w:val="20"/>
              </w:rPr>
            </w:pPr>
            <w:r>
              <w:rPr>
                <w:sz w:val="20"/>
                <w:szCs w:val="20"/>
              </w:rPr>
              <w:t>Reward focus will be maintained in the coming year but will be developed to include wider revision and mentoring strategies</w:t>
            </w:r>
          </w:p>
        </w:tc>
      </w:tr>
      <w:tr w:rsidR="0006322E" w:rsidRPr="00613CB5" w:rsidTr="00C47757">
        <w:tblPrEx>
          <w:tblCellMar>
            <w:top w:w="0" w:type="dxa"/>
            <w:bottom w:w="0" w:type="dxa"/>
          </w:tblCellMar>
        </w:tblPrEx>
        <w:trPr>
          <w:trHeight w:val="1584"/>
        </w:trPr>
        <w:tc>
          <w:tcPr>
            <w:tcW w:w="2988" w:type="dxa"/>
            <w:tcBorders>
              <w:bottom w:val="single" w:sz="4" w:space="0" w:color="auto"/>
            </w:tcBorders>
          </w:tcPr>
          <w:p w:rsidR="00C568D5" w:rsidRDefault="00C568D5" w:rsidP="00AE73B7">
            <w:pPr>
              <w:pStyle w:val="Default"/>
              <w:rPr>
                <w:sz w:val="20"/>
                <w:szCs w:val="20"/>
              </w:rPr>
            </w:pPr>
          </w:p>
          <w:p w:rsidR="0006322E" w:rsidRDefault="0006322E" w:rsidP="00AE73B7">
            <w:pPr>
              <w:pStyle w:val="Default"/>
              <w:rPr>
                <w:sz w:val="20"/>
                <w:szCs w:val="20"/>
              </w:rPr>
            </w:pPr>
            <w:r>
              <w:rPr>
                <w:sz w:val="20"/>
                <w:szCs w:val="20"/>
              </w:rPr>
              <w:t xml:space="preserve">Working to develop intervention and enrichment and reward programmes that support the personal development needs of students </w:t>
            </w:r>
          </w:p>
        </w:tc>
        <w:tc>
          <w:tcPr>
            <w:tcW w:w="3261" w:type="dxa"/>
            <w:tcBorders>
              <w:bottom w:val="single" w:sz="4" w:space="0" w:color="auto"/>
            </w:tcBorders>
          </w:tcPr>
          <w:p w:rsidR="00C568D5" w:rsidRDefault="00C568D5" w:rsidP="00AE73B7">
            <w:pPr>
              <w:pStyle w:val="Default"/>
              <w:rPr>
                <w:sz w:val="20"/>
                <w:szCs w:val="20"/>
              </w:rPr>
            </w:pPr>
          </w:p>
          <w:p w:rsidR="0006322E" w:rsidRDefault="0006322E" w:rsidP="00AE73B7">
            <w:pPr>
              <w:pStyle w:val="Default"/>
              <w:rPr>
                <w:sz w:val="20"/>
                <w:szCs w:val="20"/>
              </w:rPr>
            </w:pPr>
            <w:r>
              <w:rPr>
                <w:sz w:val="20"/>
                <w:szCs w:val="20"/>
              </w:rPr>
              <w:t>Educational trips to Universities and Centre of excellence.   Supporting pupils with costs of extra-curricular activities and classes. Encourage parental engagement through award communications and ceremonies, encouraging students to recognise and celebrate their successes</w:t>
            </w:r>
            <w:r w:rsidR="007D1BC4">
              <w:rPr>
                <w:sz w:val="20"/>
                <w:szCs w:val="20"/>
              </w:rPr>
              <w:t>.  Support by a dedicated staff member (0.3wte).</w:t>
            </w:r>
          </w:p>
          <w:p w:rsidR="00E46776" w:rsidRPr="00613CB5" w:rsidRDefault="00E46776" w:rsidP="00AE73B7">
            <w:pPr>
              <w:pStyle w:val="Default"/>
              <w:rPr>
                <w:sz w:val="20"/>
                <w:szCs w:val="20"/>
              </w:rPr>
            </w:pPr>
          </w:p>
        </w:tc>
        <w:tc>
          <w:tcPr>
            <w:tcW w:w="3827" w:type="dxa"/>
            <w:tcBorders>
              <w:bottom w:val="single" w:sz="4" w:space="0" w:color="auto"/>
            </w:tcBorders>
          </w:tcPr>
          <w:p w:rsidR="00C568D5" w:rsidRDefault="00C568D5" w:rsidP="00AE73B7">
            <w:pPr>
              <w:pStyle w:val="Default"/>
              <w:rPr>
                <w:sz w:val="20"/>
                <w:szCs w:val="20"/>
              </w:rPr>
            </w:pPr>
          </w:p>
          <w:p w:rsidR="0006322E" w:rsidRDefault="0006322E" w:rsidP="00AE73B7">
            <w:pPr>
              <w:pStyle w:val="Default"/>
              <w:rPr>
                <w:sz w:val="20"/>
                <w:szCs w:val="20"/>
              </w:rPr>
            </w:pPr>
            <w:r>
              <w:rPr>
                <w:sz w:val="20"/>
                <w:szCs w:val="20"/>
              </w:rPr>
              <w:t xml:space="preserve">The pupil premium funding has allowed us to offer additional support to pupils across a number of disciplines; Gifted and Talented, EAL, SEN, Year group Cohorts.  </w:t>
            </w:r>
          </w:p>
          <w:p w:rsidR="00E46776" w:rsidRDefault="00E46776" w:rsidP="00AE73B7">
            <w:pPr>
              <w:pStyle w:val="Default"/>
              <w:rPr>
                <w:sz w:val="20"/>
                <w:szCs w:val="20"/>
              </w:rPr>
            </w:pPr>
          </w:p>
          <w:p w:rsidR="00E46776" w:rsidRDefault="00E46776" w:rsidP="00AE73B7">
            <w:pPr>
              <w:pStyle w:val="Default"/>
              <w:rPr>
                <w:sz w:val="20"/>
                <w:szCs w:val="20"/>
              </w:rPr>
            </w:pPr>
            <w:r>
              <w:rPr>
                <w:sz w:val="20"/>
                <w:szCs w:val="20"/>
              </w:rPr>
              <w:t xml:space="preserve">Interventions included </w:t>
            </w:r>
            <w:r w:rsidR="00D93F4E">
              <w:rPr>
                <w:sz w:val="20"/>
                <w:szCs w:val="20"/>
              </w:rPr>
              <w:t xml:space="preserve">PP </w:t>
            </w:r>
            <w:r>
              <w:rPr>
                <w:sz w:val="20"/>
                <w:szCs w:val="20"/>
              </w:rPr>
              <w:t>students visit</w:t>
            </w:r>
            <w:r w:rsidR="00D93F4E">
              <w:rPr>
                <w:sz w:val="20"/>
                <w:szCs w:val="20"/>
              </w:rPr>
              <w:t>ing</w:t>
            </w:r>
            <w:r>
              <w:rPr>
                <w:sz w:val="20"/>
                <w:szCs w:val="20"/>
              </w:rPr>
              <w:t xml:space="preserve"> </w:t>
            </w:r>
            <w:r w:rsidR="00D93F4E">
              <w:rPr>
                <w:sz w:val="20"/>
                <w:szCs w:val="20"/>
              </w:rPr>
              <w:t xml:space="preserve">a number of Further Educational establishment including </w:t>
            </w:r>
            <w:r>
              <w:rPr>
                <w:sz w:val="20"/>
                <w:szCs w:val="20"/>
              </w:rPr>
              <w:t>Oxford University</w:t>
            </w:r>
            <w:r w:rsidR="007D1BC4">
              <w:rPr>
                <w:sz w:val="20"/>
                <w:szCs w:val="20"/>
              </w:rPr>
              <w:t>,</w:t>
            </w:r>
            <w:r>
              <w:rPr>
                <w:sz w:val="20"/>
                <w:szCs w:val="20"/>
              </w:rPr>
              <w:t xml:space="preserve"> Newcastle University </w:t>
            </w:r>
            <w:r w:rsidR="007D1BC4">
              <w:rPr>
                <w:sz w:val="20"/>
                <w:szCs w:val="20"/>
              </w:rPr>
              <w:t>and Manchester Universities</w:t>
            </w:r>
          </w:p>
          <w:p w:rsidR="00C96C2C" w:rsidRDefault="00C96C2C" w:rsidP="00AE73B7">
            <w:pPr>
              <w:pStyle w:val="Default"/>
              <w:rPr>
                <w:sz w:val="20"/>
                <w:szCs w:val="20"/>
              </w:rPr>
            </w:pPr>
          </w:p>
          <w:p w:rsidR="00E46776" w:rsidRPr="00613CB5" w:rsidRDefault="00C568D5" w:rsidP="00C96C2C">
            <w:pPr>
              <w:pStyle w:val="Default"/>
              <w:rPr>
                <w:sz w:val="20"/>
                <w:szCs w:val="20"/>
              </w:rPr>
            </w:pPr>
            <w:r>
              <w:rPr>
                <w:sz w:val="20"/>
                <w:szCs w:val="20"/>
              </w:rPr>
              <w:t>PP eligible students take part in all interventions in school.</w:t>
            </w:r>
          </w:p>
        </w:tc>
        <w:tc>
          <w:tcPr>
            <w:tcW w:w="1559" w:type="dxa"/>
            <w:tcBorders>
              <w:bottom w:val="single" w:sz="4" w:space="0" w:color="auto"/>
            </w:tcBorders>
          </w:tcPr>
          <w:p w:rsidR="0006322E" w:rsidRDefault="0006322E" w:rsidP="00AE73B7">
            <w:pPr>
              <w:pStyle w:val="Default"/>
              <w:rPr>
                <w:sz w:val="20"/>
                <w:szCs w:val="20"/>
              </w:rPr>
            </w:pPr>
          </w:p>
          <w:p w:rsidR="0006322E" w:rsidRDefault="0006322E" w:rsidP="007D1BC4">
            <w:pPr>
              <w:pStyle w:val="Default"/>
              <w:rPr>
                <w:sz w:val="20"/>
                <w:szCs w:val="20"/>
              </w:rPr>
            </w:pPr>
            <w:r w:rsidRPr="002A671F">
              <w:rPr>
                <w:sz w:val="20"/>
                <w:szCs w:val="20"/>
              </w:rPr>
              <w:t>£</w:t>
            </w:r>
            <w:r w:rsidR="007D1BC4" w:rsidRPr="002A671F">
              <w:rPr>
                <w:sz w:val="20"/>
                <w:szCs w:val="20"/>
              </w:rPr>
              <w:t>12,733</w:t>
            </w:r>
          </w:p>
        </w:tc>
        <w:tc>
          <w:tcPr>
            <w:tcW w:w="3119" w:type="dxa"/>
            <w:tcBorders>
              <w:bottom w:val="single" w:sz="4" w:space="0" w:color="auto"/>
            </w:tcBorders>
          </w:tcPr>
          <w:p w:rsidR="0006322E" w:rsidRDefault="0006322E" w:rsidP="00FD5DBC">
            <w:pPr>
              <w:pStyle w:val="Default"/>
              <w:rPr>
                <w:sz w:val="20"/>
                <w:szCs w:val="20"/>
              </w:rPr>
            </w:pPr>
          </w:p>
          <w:p w:rsidR="00C568D5" w:rsidRDefault="00C568D5" w:rsidP="00C96C2C">
            <w:pPr>
              <w:pStyle w:val="Default"/>
              <w:rPr>
                <w:sz w:val="20"/>
                <w:szCs w:val="20"/>
              </w:rPr>
            </w:pPr>
            <w:r>
              <w:rPr>
                <w:sz w:val="20"/>
                <w:szCs w:val="20"/>
              </w:rPr>
              <w:t xml:space="preserve">Pupils report a raise in aspiration and wider education and employment options. </w:t>
            </w:r>
          </w:p>
        </w:tc>
      </w:tr>
      <w:tr w:rsidR="0006322E" w:rsidRPr="00613CB5" w:rsidTr="00C47757">
        <w:tblPrEx>
          <w:tblCellMar>
            <w:top w:w="0" w:type="dxa"/>
            <w:bottom w:w="0" w:type="dxa"/>
          </w:tblCellMar>
        </w:tblPrEx>
        <w:trPr>
          <w:trHeight w:val="393"/>
        </w:trPr>
        <w:tc>
          <w:tcPr>
            <w:tcW w:w="14754" w:type="dxa"/>
            <w:gridSpan w:val="5"/>
            <w:shd w:val="clear" w:color="auto" w:fill="BFBFBF"/>
          </w:tcPr>
          <w:p w:rsidR="0006322E" w:rsidRDefault="0006322E" w:rsidP="009277D6">
            <w:pPr>
              <w:pStyle w:val="Default"/>
              <w:rPr>
                <w:sz w:val="20"/>
                <w:szCs w:val="20"/>
              </w:rPr>
            </w:pPr>
            <w:r>
              <w:rPr>
                <w:b/>
                <w:sz w:val="28"/>
                <w:szCs w:val="28"/>
              </w:rPr>
              <w:t xml:space="preserve">Pastoral Support </w:t>
            </w:r>
            <w:r w:rsidRPr="0057620B">
              <w:rPr>
                <w:b/>
                <w:sz w:val="28"/>
                <w:szCs w:val="28"/>
              </w:rPr>
              <w:t xml:space="preserve"> </w:t>
            </w:r>
          </w:p>
        </w:tc>
      </w:tr>
      <w:tr w:rsidR="00334F6F" w:rsidRPr="00613CB5" w:rsidTr="00C96C2C">
        <w:tblPrEx>
          <w:tblCellMar>
            <w:top w:w="0" w:type="dxa"/>
            <w:bottom w:w="0" w:type="dxa"/>
          </w:tblCellMar>
        </w:tblPrEx>
        <w:trPr>
          <w:trHeight w:val="1127"/>
        </w:trPr>
        <w:tc>
          <w:tcPr>
            <w:tcW w:w="2988" w:type="dxa"/>
            <w:vMerge w:val="restart"/>
          </w:tcPr>
          <w:p w:rsidR="00334F6F" w:rsidRDefault="00334F6F" w:rsidP="00FD5DBC">
            <w:pPr>
              <w:pStyle w:val="Default"/>
              <w:rPr>
                <w:sz w:val="20"/>
                <w:szCs w:val="20"/>
              </w:rPr>
            </w:pPr>
          </w:p>
          <w:p w:rsidR="00334F6F" w:rsidRDefault="00334F6F" w:rsidP="00FD5DBC">
            <w:pPr>
              <w:pStyle w:val="Default"/>
              <w:rPr>
                <w:sz w:val="20"/>
                <w:szCs w:val="20"/>
              </w:rPr>
            </w:pPr>
            <w:r w:rsidRPr="00613CB5">
              <w:rPr>
                <w:sz w:val="20"/>
                <w:szCs w:val="20"/>
              </w:rPr>
              <w:t>To</w:t>
            </w:r>
            <w:r>
              <w:rPr>
                <w:sz w:val="20"/>
                <w:szCs w:val="20"/>
              </w:rPr>
              <w:t xml:space="preserve"> continue to </w:t>
            </w:r>
            <w:r w:rsidRPr="00613CB5">
              <w:rPr>
                <w:sz w:val="20"/>
                <w:szCs w:val="20"/>
              </w:rPr>
              <w:t xml:space="preserve">‘narrow the gap’, by maintaining specialist </w:t>
            </w:r>
            <w:r w:rsidRPr="00613CB5">
              <w:rPr>
                <w:b/>
                <w:bCs/>
                <w:sz w:val="20"/>
                <w:szCs w:val="20"/>
              </w:rPr>
              <w:t xml:space="preserve">‘Engagement’ </w:t>
            </w:r>
            <w:r w:rsidRPr="00613CB5">
              <w:rPr>
                <w:sz w:val="20"/>
                <w:szCs w:val="20"/>
              </w:rPr>
              <w:t xml:space="preserve">programmes, targeting hard-to-reach students requiring additional support in social aspects of learning in all year groups. </w:t>
            </w:r>
          </w:p>
          <w:p w:rsidR="00334F6F" w:rsidRPr="00613CB5" w:rsidRDefault="00334F6F" w:rsidP="00FD5DBC">
            <w:pPr>
              <w:pStyle w:val="Default"/>
              <w:rPr>
                <w:sz w:val="20"/>
                <w:szCs w:val="20"/>
              </w:rPr>
            </w:pPr>
          </w:p>
        </w:tc>
        <w:tc>
          <w:tcPr>
            <w:tcW w:w="3261" w:type="dxa"/>
            <w:tcBorders>
              <w:bottom w:val="single" w:sz="4" w:space="0" w:color="auto"/>
            </w:tcBorders>
          </w:tcPr>
          <w:p w:rsidR="00334F6F" w:rsidRDefault="00334F6F" w:rsidP="006A226A">
            <w:pPr>
              <w:pStyle w:val="Default"/>
              <w:rPr>
                <w:sz w:val="20"/>
                <w:szCs w:val="20"/>
              </w:rPr>
            </w:pPr>
          </w:p>
          <w:p w:rsidR="00334F6F" w:rsidRDefault="00334F6F" w:rsidP="006A226A">
            <w:pPr>
              <w:pStyle w:val="Default"/>
              <w:rPr>
                <w:sz w:val="20"/>
                <w:szCs w:val="20"/>
              </w:rPr>
            </w:pPr>
            <w:r w:rsidRPr="00613CB5">
              <w:rPr>
                <w:sz w:val="20"/>
                <w:szCs w:val="20"/>
              </w:rPr>
              <w:t xml:space="preserve">Use of </w:t>
            </w:r>
            <w:r>
              <w:rPr>
                <w:sz w:val="20"/>
                <w:szCs w:val="20"/>
              </w:rPr>
              <w:t>Enterprise Liaison; Salford Foundation; Connexions; Caritas Counselling and ‘In house’ teams and external partnerships.</w:t>
            </w:r>
          </w:p>
          <w:p w:rsidR="00334F6F" w:rsidRPr="00613CB5" w:rsidRDefault="00334F6F" w:rsidP="006A226A">
            <w:pPr>
              <w:pStyle w:val="Default"/>
              <w:rPr>
                <w:sz w:val="20"/>
                <w:szCs w:val="20"/>
              </w:rPr>
            </w:pPr>
          </w:p>
        </w:tc>
        <w:tc>
          <w:tcPr>
            <w:tcW w:w="3827" w:type="dxa"/>
            <w:tcBorders>
              <w:bottom w:val="single" w:sz="4" w:space="0" w:color="auto"/>
            </w:tcBorders>
          </w:tcPr>
          <w:p w:rsidR="00334F6F" w:rsidRDefault="00334F6F" w:rsidP="003C01C7">
            <w:pPr>
              <w:pStyle w:val="Default"/>
              <w:rPr>
                <w:sz w:val="20"/>
                <w:szCs w:val="20"/>
              </w:rPr>
            </w:pPr>
          </w:p>
          <w:p w:rsidR="00334F6F" w:rsidRDefault="00334F6F" w:rsidP="003C01C7">
            <w:pPr>
              <w:pStyle w:val="Default"/>
              <w:rPr>
                <w:sz w:val="20"/>
                <w:szCs w:val="20"/>
              </w:rPr>
            </w:pPr>
            <w:r w:rsidRPr="00613CB5">
              <w:rPr>
                <w:sz w:val="20"/>
                <w:szCs w:val="20"/>
              </w:rPr>
              <w:t xml:space="preserve">This provision has been offered to students to enhance their social welfare and greater wellbeing in </w:t>
            </w:r>
            <w:r>
              <w:rPr>
                <w:sz w:val="20"/>
                <w:szCs w:val="20"/>
              </w:rPr>
              <w:t>school</w:t>
            </w:r>
            <w:r w:rsidRPr="00613CB5">
              <w:rPr>
                <w:sz w:val="20"/>
                <w:szCs w:val="20"/>
              </w:rPr>
              <w:t xml:space="preserve">. </w:t>
            </w:r>
          </w:p>
          <w:p w:rsidR="00334F6F" w:rsidRDefault="00334F6F" w:rsidP="003C01C7">
            <w:pPr>
              <w:pStyle w:val="Default"/>
              <w:rPr>
                <w:sz w:val="20"/>
                <w:szCs w:val="20"/>
              </w:rPr>
            </w:pPr>
          </w:p>
          <w:p w:rsidR="00334F6F" w:rsidRPr="00613CB5" w:rsidRDefault="00334F6F" w:rsidP="002A671F">
            <w:pPr>
              <w:pStyle w:val="Default"/>
              <w:rPr>
                <w:sz w:val="20"/>
                <w:szCs w:val="20"/>
              </w:rPr>
            </w:pPr>
            <w:r w:rsidRPr="00613CB5">
              <w:rPr>
                <w:sz w:val="20"/>
                <w:szCs w:val="20"/>
              </w:rPr>
              <w:t xml:space="preserve">The cost of this has risen significantly and without the pupil premium funding </w:t>
            </w:r>
            <w:r>
              <w:rPr>
                <w:sz w:val="20"/>
                <w:szCs w:val="20"/>
              </w:rPr>
              <w:t>school</w:t>
            </w:r>
            <w:r w:rsidRPr="00613CB5">
              <w:rPr>
                <w:sz w:val="20"/>
                <w:szCs w:val="20"/>
              </w:rPr>
              <w:t xml:space="preserve"> would have </w:t>
            </w:r>
            <w:r>
              <w:rPr>
                <w:sz w:val="20"/>
                <w:szCs w:val="20"/>
              </w:rPr>
              <w:t xml:space="preserve">had to </w:t>
            </w:r>
            <w:r w:rsidRPr="00613CB5">
              <w:rPr>
                <w:sz w:val="20"/>
                <w:szCs w:val="20"/>
              </w:rPr>
              <w:t>cut back on this offering</w:t>
            </w:r>
            <w:r>
              <w:rPr>
                <w:sz w:val="20"/>
                <w:szCs w:val="20"/>
              </w:rPr>
              <w:t>.</w:t>
            </w:r>
          </w:p>
        </w:tc>
        <w:tc>
          <w:tcPr>
            <w:tcW w:w="1559" w:type="dxa"/>
            <w:tcBorders>
              <w:bottom w:val="single" w:sz="4" w:space="0" w:color="auto"/>
            </w:tcBorders>
          </w:tcPr>
          <w:p w:rsidR="00334F6F" w:rsidRDefault="00334F6F" w:rsidP="00AD212E">
            <w:pPr>
              <w:pStyle w:val="Default"/>
              <w:rPr>
                <w:sz w:val="20"/>
                <w:szCs w:val="20"/>
              </w:rPr>
            </w:pPr>
          </w:p>
          <w:p w:rsidR="00334F6F" w:rsidRPr="00613CB5" w:rsidRDefault="00334F6F" w:rsidP="002A671F">
            <w:pPr>
              <w:pStyle w:val="Default"/>
              <w:rPr>
                <w:sz w:val="20"/>
                <w:szCs w:val="20"/>
              </w:rPr>
            </w:pPr>
            <w:r w:rsidRPr="002A671F">
              <w:rPr>
                <w:sz w:val="20"/>
                <w:szCs w:val="20"/>
              </w:rPr>
              <w:t>£</w:t>
            </w:r>
            <w:r w:rsidR="00BE6781" w:rsidRPr="002A671F">
              <w:rPr>
                <w:sz w:val="20"/>
                <w:szCs w:val="20"/>
              </w:rPr>
              <w:t>44,</w:t>
            </w:r>
            <w:r w:rsidR="002A671F">
              <w:rPr>
                <w:sz w:val="20"/>
                <w:szCs w:val="20"/>
              </w:rPr>
              <w:t>944</w:t>
            </w:r>
          </w:p>
        </w:tc>
        <w:tc>
          <w:tcPr>
            <w:tcW w:w="3119" w:type="dxa"/>
            <w:tcBorders>
              <w:bottom w:val="single" w:sz="4" w:space="0" w:color="auto"/>
            </w:tcBorders>
          </w:tcPr>
          <w:p w:rsidR="00334F6F" w:rsidRDefault="00334F6F" w:rsidP="00DA12A8">
            <w:pPr>
              <w:pStyle w:val="Default"/>
              <w:rPr>
                <w:sz w:val="20"/>
                <w:szCs w:val="20"/>
              </w:rPr>
            </w:pPr>
          </w:p>
          <w:p w:rsidR="00334F6F" w:rsidRDefault="00334F6F" w:rsidP="00C47757">
            <w:pPr>
              <w:pStyle w:val="Default"/>
              <w:rPr>
                <w:sz w:val="20"/>
                <w:szCs w:val="20"/>
              </w:rPr>
            </w:pPr>
            <w:r>
              <w:rPr>
                <w:sz w:val="20"/>
                <w:szCs w:val="20"/>
              </w:rPr>
              <w:t>Development of social and emotional growth, managing of anger, self-esteem and confidence.</w:t>
            </w:r>
          </w:p>
          <w:p w:rsidR="00334F6F" w:rsidRDefault="00334F6F" w:rsidP="00C47757">
            <w:pPr>
              <w:pStyle w:val="Default"/>
              <w:rPr>
                <w:sz w:val="20"/>
                <w:szCs w:val="20"/>
              </w:rPr>
            </w:pPr>
            <w:r w:rsidRPr="00613CB5">
              <w:rPr>
                <w:sz w:val="20"/>
                <w:szCs w:val="20"/>
              </w:rPr>
              <w:t>.</w:t>
            </w:r>
          </w:p>
        </w:tc>
      </w:tr>
      <w:tr w:rsidR="00334F6F" w:rsidRPr="00613CB5" w:rsidTr="002A671F">
        <w:tblPrEx>
          <w:tblCellMar>
            <w:top w:w="0" w:type="dxa"/>
            <w:bottom w:w="0" w:type="dxa"/>
          </w:tblCellMar>
        </w:tblPrEx>
        <w:trPr>
          <w:trHeight w:val="1347"/>
        </w:trPr>
        <w:tc>
          <w:tcPr>
            <w:tcW w:w="2988" w:type="dxa"/>
            <w:vMerge/>
            <w:tcBorders>
              <w:bottom w:val="single" w:sz="4" w:space="0" w:color="auto"/>
            </w:tcBorders>
          </w:tcPr>
          <w:p w:rsidR="00334F6F" w:rsidRDefault="00334F6F" w:rsidP="00FD5DBC">
            <w:pPr>
              <w:pStyle w:val="Default"/>
              <w:rPr>
                <w:sz w:val="20"/>
                <w:szCs w:val="20"/>
              </w:rPr>
            </w:pPr>
          </w:p>
        </w:tc>
        <w:tc>
          <w:tcPr>
            <w:tcW w:w="3261" w:type="dxa"/>
            <w:tcBorders>
              <w:bottom w:val="single" w:sz="4" w:space="0" w:color="auto"/>
            </w:tcBorders>
          </w:tcPr>
          <w:p w:rsidR="00147111" w:rsidRDefault="00334F6F" w:rsidP="002A671F">
            <w:pPr>
              <w:pStyle w:val="Default"/>
              <w:rPr>
                <w:sz w:val="20"/>
                <w:szCs w:val="20"/>
              </w:rPr>
            </w:pPr>
            <w:r>
              <w:rPr>
                <w:sz w:val="20"/>
                <w:szCs w:val="20"/>
              </w:rPr>
              <w:t>Employment of a Pastoral Manager to lead and support the work of the pastoral Team</w:t>
            </w:r>
            <w:r w:rsidR="00273B20">
              <w:rPr>
                <w:sz w:val="20"/>
                <w:szCs w:val="20"/>
              </w:rPr>
              <w:t xml:space="preserve"> and ensure all students needs are met</w:t>
            </w:r>
          </w:p>
        </w:tc>
        <w:tc>
          <w:tcPr>
            <w:tcW w:w="3827" w:type="dxa"/>
            <w:tcBorders>
              <w:bottom w:val="single" w:sz="4" w:space="0" w:color="auto"/>
            </w:tcBorders>
          </w:tcPr>
          <w:p w:rsidR="00334F6F" w:rsidRPr="00334F6F" w:rsidRDefault="00334F6F" w:rsidP="003C01C7">
            <w:pPr>
              <w:pStyle w:val="Default"/>
              <w:rPr>
                <w:sz w:val="20"/>
                <w:szCs w:val="20"/>
                <w:highlight w:val="yellow"/>
              </w:rPr>
            </w:pPr>
          </w:p>
          <w:p w:rsidR="00334F6F" w:rsidRPr="00334F6F" w:rsidRDefault="00334F6F" w:rsidP="003C01C7">
            <w:pPr>
              <w:pStyle w:val="Default"/>
              <w:rPr>
                <w:sz w:val="20"/>
                <w:szCs w:val="20"/>
                <w:highlight w:val="yellow"/>
              </w:rPr>
            </w:pPr>
          </w:p>
        </w:tc>
        <w:tc>
          <w:tcPr>
            <w:tcW w:w="1559" w:type="dxa"/>
            <w:tcBorders>
              <w:bottom w:val="single" w:sz="4" w:space="0" w:color="auto"/>
            </w:tcBorders>
          </w:tcPr>
          <w:p w:rsidR="00334F6F" w:rsidRDefault="00334F6F" w:rsidP="00AD212E">
            <w:pPr>
              <w:pStyle w:val="Default"/>
              <w:rPr>
                <w:sz w:val="20"/>
                <w:szCs w:val="20"/>
                <w:highlight w:val="yellow"/>
              </w:rPr>
            </w:pPr>
          </w:p>
          <w:p w:rsidR="007D1BC4" w:rsidRPr="00334F6F" w:rsidRDefault="007D1BC4" w:rsidP="002A671F">
            <w:pPr>
              <w:pStyle w:val="Default"/>
              <w:rPr>
                <w:sz w:val="20"/>
                <w:szCs w:val="20"/>
                <w:highlight w:val="yellow"/>
              </w:rPr>
            </w:pPr>
            <w:r w:rsidRPr="00BE6781">
              <w:rPr>
                <w:sz w:val="20"/>
                <w:szCs w:val="20"/>
              </w:rPr>
              <w:t>£19,</w:t>
            </w:r>
            <w:r w:rsidR="002A671F">
              <w:rPr>
                <w:sz w:val="20"/>
                <w:szCs w:val="20"/>
              </w:rPr>
              <w:t>949</w:t>
            </w:r>
          </w:p>
        </w:tc>
        <w:tc>
          <w:tcPr>
            <w:tcW w:w="3119" w:type="dxa"/>
            <w:tcBorders>
              <w:bottom w:val="single" w:sz="4" w:space="0" w:color="auto"/>
            </w:tcBorders>
          </w:tcPr>
          <w:p w:rsidR="00334F6F" w:rsidRDefault="00334F6F" w:rsidP="00DA12A8">
            <w:pPr>
              <w:pStyle w:val="Default"/>
              <w:rPr>
                <w:sz w:val="20"/>
                <w:szCs w:val="20"/>
                <w:highlight w:val="yellow"/>
              </w:rPr>
            </w:pPr>
          </w:p>
          <w:p w:rsidR="00273B20" w:rsidRPr="00334F6F" w:rsidRDefault="00273B20" w:rsidP="00DA12A8">
            <w:pPr>
              <w:pStyle w:val="Default"/>
              <w:rPr>
                <w:sz w:val="20"/>
                <w:szCs w:val="20"/>
                <w:highlight w:val="yellow"/>
              </w:rPr>
            </w:pPr>
          </w:p>
        </w:tc>
      </w:tr>
      <w:tr w:rsidR="0006322E" w:rsidTr="00C47757">
        <w:tblPrEx>
          <w:tblCellMar>
            <w:top w:w="0" w:type="dxa"/>
            <w:bottom w:w="0" w:type="dxa"/>
          </w:tblCellMar>
        </w:tblPrEx>
        <w:trPr>
          <w:trHeight w:val="361"/>
        </w:trPr>
        <w:tc>
          <w:tcPr>
            <w:tcW w:w="14754" w:type="dxa"/>
            <w:gridSpan w:val="5"/>
            <w:shd w:val="clear" w:color="auto" w:fill="BFBFBF"/>
          </w:tcPr>
          <w:p w:rsidR="0006322E" w:rsidRPr="009277D6" w:rsidRDefault="0006322E" w:rsidP="00FD5DBC">
            <w:pPr>
              <w:pStyle w:val="Default"/>
              <w:rPr>
                <w:b/>
                <w:sz w:val="28"/>
                <w:szCs w:val="28"/>
              </w:rPr>
            </w:pPr>
            <w:r w:rsidRPr="009277D6">
              <w:rPr>
                <w:b/>
                <w:sz w:val="28"/>
                <w:szCs w:val="28"/>
              </w:rPr>
              <w:lastRenderedPageBreak/>
              <w:t>Attendance</w:t>
            </w:r>
          </w:p>
        </w:tc>
      </w:tr>
      <w:tr w:rsidR="005A4C76" w:rsidTr="00C47757">
        <w:tblPrEx>
          <w:tblCellMar>
            <w:top w:w="0" w:type="dxa"/>
            <w:bottom w:w="0" w:type="dxa"/>
          </w:tblCellMar>
        </w:tblPrEx>
        <w:trPr>
          <w:trHeight w:val="1318"/>
        </w:trPr>
        <w:tc>
          <w:tcPr>
            <w:tcW w:w="2988" w:type="dxa"/>
          </w:tcPr>
          <w:p w:rsidR="00C568D5" w:rsidRDefault="00C568D5" w:rsidP="00AE73B7">
            <w:pPr>
              <w:pStyle w:val="Default"/>
              <w:rPr>
                <w:sz w:val="20"/>
                <w:szCs w:val="20"/>
              </w:rPr>
            </w:pPr>
          </w:p>
          <w:p w:rsidR="005A4C76" w:rsidRPr="00613CB5" w:rsidRDefault="005A4C76" w:rsidP="00AE73B7">
            <w:pPr>
              <w:pStyle w:val="Default"/>
              <w:rPr>
                <w:sz w:val="20"/>
                <w:szCs w:val="20"/>
              </w:rPr>
            </w:pPr>
            <w:r>
              <w:rPr>
                <w:sz w:val="20"/>
                <w:szCs w:val="20"/>
              </w:rPr>
              <w:t>Maintain and develop s</w:t>
            </w:r>
            <w:r w:rsidRPr="00613CB5">
              <w:rPr>
                <w:sz w:val="20"/>
                <w:szCs w:val="20"/>
              </w:rPr>
              <w:t xml:space="preserve">pecialist </w:t>
            </w:r>
            <w:r w:rsidRPr="00613CB5">
              <w:rPr>
                <w:b/>
                <w:bCs/>
                <w:sz w:val="20"/>
                <w:szCs w:val="20"/>
              </w:rPr>
              <w:t xml:space="preserve">‘Engagement’ </w:t>
            </w:r>
            <w:r w:rsidRPr="00613CB5">
              <w:rPr>
                <w:sz w:val="20"/>
                <w:szCs w:val="20"/>
              </w:rPr>
              <w:t>programmes</w:t>
            </w:r>
            <w:r>
              <w:rPr>
                <w:sz w:val="20"/>
                <w:szCs w:val="20"/>
              </w:rPr>
              <w:t xml:space="preserve"> aimed at</w:t>
            </w:r>
            <w:r w:rsidRPr="00613CB5">
              <w:rPr>
                <w:sz w:val="20"/>
                <w:szCs w:val="20"/>
              </w:rPr>
              <w:t xml:space="preserve"> targeting </w:t>
            </w:r>
            <w:r>
              <w:rPr>
                <w:sz w:val="20"/>
                <w:szCs w:val="20"/>
              </w:rPr>
              <w:t>hard to reach students and persistent refusers</w:t>
            </w:r>
          </w:p>
        </w:tc>
        <w:tc>
          <w:tcPr>
            <w:tcW w:w="3261" w:type="dxa"/>
          </w:tcPr>
          <w:p w:rsidR="00C568D5" w:rsidRDefault="00C568D5" w:rsidP="00AE73B7">
            <w:pPr>
              <w:pStyle w:val="Default"/>
              <w:rPr>
                <w:sz w:val="20"/>
                <w:szCs w:val="20"/>
              </w:rPr>
            </w:pPr>
          </w:p>
          <w:p w:rsidR="005A4C76" w:rsidRPr="00613CB5" w:rsidRDefault="005A4C76" w:rsidP="00AE73B7">
            <w:pPr>
              <w:pStyle w:val="Default"/>
              <w:rPr>
                <w:sz w:val="20"/>
                <w:szCs w:val="20"/>
              </w:rPr>
            </w:pPr>
            <w:r w:rsidRPr="00613CB5">
              <w:rPr>
                <w:sz w:val="20"/>
                <w:szCs w:val="20"/>
              </w:rPr>
              <w:t xml:space="preserve">Use of specialist providers </w:t>
            </w:r>
            <w:r>
              <w:rPr>
                <w:sz w:val="20"/>
                <w:szCs w:val="20"/>
              </w:rPr>
              <w:t xml:space="preserve">to provide </w:t>
            </w:r>
            <w:r w:rsidR="00D856A2">
              <w:rPr>
                <w:sz w:val="20"/>
                <w:szCs w:val="20"/>
              </w:rPr>
              <w:t xml:space="preserve">an alternative curriculum and </w:t>
            </w:r>
            <w:r>
              <w:rPr>
                <w:sz w:val="20"/>
                <w:szCs w:val="20"/>
              </w:rPr>
              <w:t xml:space="preserve">education off site, </w:t>
            </w:r>
            <w:r w:rsidR="00D856A2">
              <w:rPr>
                <w:sz w:val="20"/>
                <w:szCs w:val="20"/>
              </w:rPr>
              <w:t xml:space="preserve">including </w:t>
            </w:r>
            <w:r>
              <w:rPr>
                <w:sz w:val="20"/>
                <w:szCs w:val="20"/>
              </w:rPr>
              <w:t xml:space="preserve">Private Tutelage (Randstad Education. Kit McGrath Ltd) </w:t>
            </w:r>
          </w:p>
          <w:p w:rsidR="005A4C76" w:rsidRDefault="005A4C76" w:rsidP="00AE73B7">
            <w:pPr>
              <w:pStyle w:val="Default"/>
              <w:rPr>
                <w:sz w:val="20"/>
                <w:szCs w:val="20"/>
              </w:rPr>
            </w:pPr>
          </w:p>
          <w:p w:rsidR="005A4C76" w:rsidRPr="00613CB5" w:rsidRDefault="005A4C76" w:rsidP="00AE73B7">
            <w:pPr>
              <w:pStyle w:val="Default"/>
              <w:rPr>
                <w:sz w:val="20"/>
                <w:szCs w:val="20"/>
              </w:rPr>
            </w:pPr>
          </w:p>
        </w:tc>
        <w:tc>
          <w:tcPr>
            <w:tcW w:w="3827" w:type="dxa"/>
          </w:tcPr>
          <w:p w:rsidR="00C568D5" w:rsidRDefault="00C568D5" w:rsidP="00AE73B7">
            <w:pPr>
              <w:pStyle w:val="Default"/>
              <w:rPr>
                <w:sz w:val="20"/>
                <w:szCs w:val="20"/>
              </w:rPr>
            </w:pPr>
          </w:p>
          <w:p w:rsidR="005A4C76" w:rsidRDefault="005A4C76" w:rsidP="00AE73B7">
            <w:pPr>
              <w:pStyle w:val="Default"/>
              <w:rPr>
                <w:sz w:val="20"/>
                <w:szCs w:val="20"/>
              </w:rPr>
            </w:pPr>
            <w:r w:rsidRPr="00613CB5">
              <w:rPr>
                <w:sz w:val="20"/>
                <w:szCs w:val="20"/>
              </w:rPr>
              <w:t xml:space="preserve">The funding has allowed the </w:t>
            </w:r>
            <w:r>
              <w:rPr>
                <w:sz w:val="20"/>
                <w:szCs w:val="20"/>
              </w:rPr>
              <w:t>school</w:t>
            </w:r>
            <w:r w:rsidRPr="00613CB5">
              <w:rPr>
                <w:sz w:val="20"/>
                <w:szCs w:val="20"/>
              </w:rPr>
              <w:t xml:space="preserve"> to continue to use and expand bespoke timetables. </w:t>
            </w:r>
          </w:p>
          <w:p w:rsidR="005A4C76" w:rsidRDefault="005A4C76" w:rsidP="00AE73B7">
            <w:pPr>
              <w:pStyle w:val="Default"/>
              <w:rPr>
                <w:sz w:val="20"/>
                <w:szCs w:val="20"/>
              </w:rPr>
            </w:pPr>
          </w:p>
          <w:p w:rsidR="005A4C76" w:rsidRPr="00613CB5" w:rsidRDefault="005A4C76" w:rsidP="00147111">
            <w:pPr>
              <w:pStyle w:val="Default"/>
              <w:rPr>
                <w:sz w:val="20"/>
                <w:szCs w:val="20"/>
              </w:rPr>
            </w:pPr>
            <w:r w:rsidRPr="00613CB5">
              <w:rPr>
                <w:sz w:val="20"/>
                <w:szCs w:val="20"/>
              </w:rPr>
              <w:t>This has allowed greater engagement in learning for particular students, who otherwise would not engage in normal classroom learning</w:t>
            </w:r>
            <w:r>
              <w:rPr>
                <w:sz w:val="20"/>
                <w:szCs w:val="20"/>
              </w:rPr>
              <w:t>.</w:t>
            </w:r>
          </w:p>
        </w:tc>
        <w:tc>
          <w:tcPr>
            <w:tcW w:w="1559" w:type="dxa"/>
          </w:tcPr>
          <w:p w:rsidR="005A4C76" w:rsidRPr="00D856A2" w:rsidRDefault="005A4C76" w:rsidP="00AE73B7">
            <w:pPr>
              <w:pStyle w:val="Default"/>
              <w:rPr>
                <w:sz w:val="20"/>
                <w:szCs w:val="20"/>
                <w:highlight w:val="yellow"/>
              </w:rPr>
            </w:pPr>
          </w:p>
          <w:p w:rsidR="005A4C76" w:rsidRPr="00D856A2" w:rsidRDefault="005A4C76" w:rsidP="002A671F">
            <w:pPr>
              <w:pStyle w:val="Default"/>
              <w:rPr>
                <w:sz w:val="20"/>
                <w:szCs w:val="20"/>
                <w:highlight w:val="yellow"/>
              </w:rPr>
            </w:pPr>
            <w:r w:rsidRPr="002A671F">
              <w:rPr>
                <w:sz w:val="20"/>
                <w:szCs w:val="20"/>
              </w:rPr>
              <w:t xml:space="preserve">£ </w:t>
            </w:r>
            <w:r w:rsidR="002A671F" w:rsidRPr="002A671F">
              <w:rPr>
                <w:sz w:val="20"/>
                <w:szCs w:val="20"/>
              </w:rPr>
              <w:t>34,600</w:t>
            </w:r>
          </w:p>
        </w:tc>
        <w:tc>
          <w:tcPr>
            <w:tcW w:w="3119" w:type="dxa"/>
          </w:tcPr>
          <w:p w:rsidR="005A4C76" w:rsidRDefault="005A4C76" w:rsidP="00AE73B7">
            <w:pPr>
              <w:pStyle w:val="Default"/>
              <w:rPr>
                <w:sz w:val="20"/>
                <w:szCs w:val="20"/>
              </w:rPr>
            </w:pPr>
          </w:p>
          <w:p w:rsidR="005A4C76" w:rsidRDefault="005A4C76" w:rsidP="00147111">
            <w:pPr>
              <w:pStyle w:val="Default"/>
              <w:rPr>
                <w:sz w:val="20"/>
                <w:szCs w:val="20"/>
              </w:rPr>
            </w:pPr>
            <w:r w:rsidRPr="00147111">
              <w:rPr>
                <w:sz w:val="20"/>
                <w:szCs w:val="20"/>
              </w:rPr>
              <w:t xml:space="preserve">This provision will </w:t>
            </w:r>
            <w:r w:rsidR="00147111">
              <w:rPr>
                <w:sz w:val="20"/>
                <w:szCs w:val="20"/>
              </w:rPr>
              <w:t xml:space="preserve">be supplemented and supported by Alternative Curriculum provision in the coming year </w:t>
            </w:r>
            <w:r>
              <w:rPr>
                <w:sz w:val="20"/>
                <w:szCs w:val="20"/>
              </w:rPr>
              <w:t xml:space="preserve"> </w:t>
            </w:r>
          </w:p>
        </w:tc>
      </w:tr>
      <w:tr w:rsidR="00C47757" w:rsidTr="00C47757">
        <w:tblPrEx>
          <w:tblCellMar>
            <w:top w:w="0" w:type="dxa"/>
            <w:bottom w:w="0" w:type="dxa"/>
          </w:tblCellMar>
        </w:tblPrEx>
        <w:trPr>
          <w:trHeight w:val="1318"/>
        </w:trPr>
        <w:tc>
          <w:tcPr>
            <w:tcW w:w="2988" w:type="dxa"/>
          </w:tcPr>
          <w:p w:rsidR="00C47757" w:rsidRDefault="00C47757" w:rsidP="00AE73B7">
            <w:pPr>
              <w:pStyle w:val="Default"/>
              <w:rPr>
                <w:sz w:val="20"/>
                <w:szCs w:val="20"/>
              </w:rPr>
            </w:pPr>
          </w:p>
          <w:p w:rsidR="00E46776" w:rsidRDefault="00E46776" w:rsidP="00AE73B7">
            <w:pPr>
              <w:pStyle w:val="Default"/>
              <w:rPr>
                <w:sz w:val="20"/>
                <w:szCs w:val="20"/>
              </w:rPr>
            </w:pPr>
            <w:r>
              <w:rPr>
                <w:sz w:val="20"/>
                <w:szCs w:val="20"/>
              </w:rPr>
              <w:t xml:space="preserve">Increase pupil punctuality and attendance to above national average over the academic year </w:t>
            </w:r>
          </w:p>
        </w:tc>
        <w:tc>
          <w:tcPr>
            <w:tcW w:w="3261" w:type="dxa"/>
          </w:tcPr>
          <w:p w:rsidR="006072FC" w:rsidRDefault="006072FC" w:rsidP="006072FC">
            <w:pPr>
              <w:pStyle w:val="Default"/>
              <w:rPr>
                <w:sz w:val="20"/>
                <w:szCs w:val="20"/>
              </w:rPr>
            </w:pPr>
          </w:p>
          <w:p w:rsidR="006072FC" w:rsidRDefault="006072FC" w:rsidP="006072FC">
            <w:pPr>
              <w:pStyle w:val="Default"/>
              <w:rPr>
                <w:sz w:val="20"/>
                <w:szCs w:val="20"/>
              </w:rPr>
            </w:pPr>
            <w:r>
              <w:rPr>
                <w:sz w:val="20"/>
                <w:szCs w:val="20"/>
              </w:rPr>
              <w:t>Recognition and reward programmes with a half termly focus on raising punctuality and attendance.</w:t>
            </w:r>
          </w:p>
          <w:p w:rsidR="006072FC" w:rsidRDefault="006072FC" w:rsidP="006072FC">
            <w:pPr>
              <w:pStyle w:val="Default"/>
              <w:rPr>
                <w:sz w:val="20"/>
                <w:szCs w:val="20"/>
              </w:rPr>
            </w:pPr>
          </w:p>
          <w:p w:rsidR="006072FC" w:rsidRDefault="006072FC" w:rsidP="006072FC">
            <w:pPr>
              <w:pStyle w:val="Default"/>
              <w:rPr>
                <w:sz w:val="20"/>
                <w:szCs w:val="20"/>
              </w:rPr>
            </w:pPr>
            <w:r>
              <w:rPr>
                <w:sz w:val="20"/>
                <w:szCs w:val="20"/>
              </w:rPr>
              <w:t>Staff deployed to support parental engagement around punctuality and attendance</w:t>
            </w:r>
          </w:p>
          <w:p w:rsidR="006072FC" w:rsidRDefault="006072FC" w:rsidP="006072FC">
            <w:pPr>
              <w:pStyle w:val="Default"/>
              <w:rPr>
                <w:sz w:val="20"/>
                <w:szCs w:val="20"/>
              </w:rPr>
            </w:pPr>
          </w:p>
          <w:p w:rsidR="00C47757" w:rsidRPr="00613CB5" w:rsidRDefault="006072FC" w:rsidP="002A671F">
            <w:pPr>
              <w:pStyle w:val="Default"/>
              <w:rPr>
                <w:sz w:val="20"/>
                <w:szCs w:val="20"/>
              </w:rPr>
            </w:pPr>
            <w:r>
              <w:rPr>
                <w:sz w:val="20"/>
                <w:szCs w:val="20"/>
              </w:rPr>
              <w:t>Pupil awareness of time as the arrive at school</w:t>
            </w:r>
          </w:p>
        </w:tc>
        <w:tc>
          <w:tcPr>
            <w:tcW w:w="3827" w:type="dxa"/>
          </w:tcPr>
          <w:p w:rsidR="00C47757" w:rsidRDefault="00C47757" w:rsidP="00AE73B7">
            <w:pPr>
              <w:pStyle w:val="Default"/>
              <w:rPr>
                <w:sz w:val="20"/>
                <w:szCs w:val="20"/>
              </w:rPr>
            </w:pPr>
          </w:p>
          <w:p w:rsidR="006072FC" w:rsidRDefault="006072FC" w:rsidP="00AE73B7">
            <w:pPr>
              <w:pStyle w:val="Default"/>
              <w:rPr>
                <w:sz w:val="20"/>
                <w:szCs w:val="20"/>
              </w:rPr>
            </w:pPr>
            <w:r>
              <w:rPr>
                <w:sz w:val="20"/>
                <w:szCs w:val="20"/>
              </w:rPr>
              <w:t>The attendance officers and SLT lead r</w:t>
            </w:r>
            <w:r w:rsidR="00273B20">
              <w:rPr>
                <w:sz w:val="20"/>
                <w:szCs w:val="20"/>
              </w:rPr>
              <w:t>un</w:t>
            </w:r>
            <w:r>
              <w:rPr>
                <w:sz w:val="20"/>
                <w:szCs w:val="20"/>
              </w:rPr>
              <w:t xml:space="preserve"> a series of </w:t>
            </w:r>
            <w:r w:rsidR="0005760E">
              <w:rPr>
                <w:sz w:val="20"/>
                <w:szCs w:val="20"/>
              </w:rPr>
              <w:t>focused</w:t>
            </w:r>
            <w:r>
              <w:rPr>
                <w:sz w:val="20"/>
                <w:szCs w:val="20"/>
              </w:rPr>
              <w:t xml:space="preserve"> and targeted interventions aimed at raising pupil punctuality and attendance figures across the year. </w:t>
            </w:r>
          </w:p>
          <w:p w:rsidR="00273B20" w:rsidRDefault="00273B20" w:rsidP="00AE73B7">
            <w:pPr>
              <w:pStyle w:val="Default"/>
              <w:rPr>
                <w:sz w:val="20"/>
                <w:szCs w:val="20"/>
              </w:rPr>
            </w:pPr>
          </w:p>
          <w:p w:rsidR="00273B20" w:rsidRDefault="00273B20" w:rsidP="00AE73B7">
            <w:pPr>
              <w:pStyle w:val="Default"/>
              <w:rPr>
                <w:sz w:val="20"/>
                <w:szCs w:val="20"/>
              </w:rPr>
            </w:pPr>
            <w:r>
              <w:rPr>
                <w:sz w:val="20"/>
                <w:szCs w:val="20"/>
              </w:rPr>
              <w:t>Attendance reward programmes are in place across the school</w:t>
            </w:r>
          </w:p>
          <w:p w:rsidR="00D856A2" w:rsidRDefault="00D856A2" w:rsidP="00AE73B7">
            <w:pPr>
              <w:pStyle w:val="Default"/>
              <w:rPr>
                <w:sz w:val="20"/>
                <w:szCs w:val="20"/>
              </w:rPr>
            </w:pPr>
          </w:p>
          <w:p w:rsidR="00D856A2" w:rsidRDefault="00D856A2" w:rsidP="00AE73B7">
            <w:pPr>
              <w:pStyle w:val="Default"/>
              <w:rPr>
                <w:sz w:val="20"/>
                <w:szCs w:val="20"/>
              </w:rPr>
            </w:pPr>
            <w:r>
              <w:rPr>
                <w:sz w:val="20"/>
                <w:szCs w:val="20"/>
              </w:rPr>
              <w:t xml:space="preserve">This area remains a key focus </w:t>
            </w:r>
          </w:p>
          <w:p w:rsidR="006072FC" w:rsidRPr="00613CB5" w:rsidRDefault="006072FC" w:rsidP="00AE73B7">
            <w:pPr>
              <w:pStyle w:val="Default"/>
              <w:rPr>
                <w:sz w:val="20"/>
                <w:szCs w:val="20"/>
              </w:rPr>
            </w:pPr>
          </w:p>
        </w:tc>
        <w:tc>
          <w:tcPr>
            <w:tcW w:w="1559" w:type="dxa"/>
          </w:tcPr>
          <w:p w:rsidR="00C47757" w:rsidRDefault="00C47757" w:rsidP="00AE73B7">
            <w:pPr>
              <w:pStyle w:val="Default"/>
              <w:rPr>
                <w:sz w:val="20"/>
                <w:szCs w:val="20"/>
              </w:rPr>
            </w:pPr>
          </w:p>
          <w:p w:rsidR="006072FC" w:rsidRDefault="002A671F" w:rsidP="002A671F">
            <w:pPr>
              <w:pStyle w:val="Default"/>
              <w:rPr>
                <w:sz w:val="20"/>
                <w:szCs w:val="20"/>
              </w:rPr>
            </w:pPr>
            <w:r>
              <w:rPr>
                <w:sz w:val="20"/>
                <w:szCs w:val="20"/>
              </w:rPr>
              <w:t>£6,000</w:t>
            </w:r>
          </w:p>
        </w:tc>
        <w:tc>
          <w:tcPr>
            <w:tcW w:w="3119" w:type="dxa"/>
          </w:tcPr>
          <w:p w:rsidR="00C47757" w:rsidRDefault="00C47757" w:rsidP="00AE73B7">
            <w:pPr>
              <w:pStyle w:val="Default"/>
              <w:rPr>
                <w:sz w:val="20"/>
                <w:szCs w:val="20"/>
              </w:rPr>
            </w:pPr>
          </w:p>
          <w:p w:rsidR="006072FC" w:rsidRDefault="006072FC" w:rsidP="00C96C2C">
            <w:pPr>
              <w:pStyle w:val="Default"/>
              <w:rPr>
                <w:sz w:val="20"/>
                <w:szCs w:val="20"/>
              </w:rPr>
            </w:pPr>
            <w:r w:rsidRPr="00147111">
              <w:rPr>
                <w:sz w:val="20"/>
                <w:szCs w:val="20"/>
              </w:rPr>
              <w:t>Pupil attendance</w:t>
            </w:r>
            <w:r w:rsidR="00C96C2C">
              <w:rPr>
                <w:sz w:val="20"/>
                <w:szCs w:val="20"/>
              </w:rPr>
              <w:t xml:space="preserve"> for the year matches the national average.</w:t>
            </w:r>
            <w:r w:rsidR="00D856A2">
              <w:rPr>
                <w:sz w:val="20"/>
                <w:szCs w:val="20"/>
              </w:rPr>
              <w:t xml:space="preserve"> </w:t>
            </w:r>
          </w:p>
        </w:tc>
      </w:tr>
      <w:tr w:rsidR="005A4C76" w:rsidTr="00C96C2C">
        <w:tblPrEx>
          <w:tblCellMar>
            <w:top w:w="0" w:type="dxa"/>
            <w:bottom w:w="0" w:type="dxa"/>
          </w:tblCellMar>
        </w:tblPrEx>
        <w:trPr>
          <w:trHeight w:val="1056"/>
        </w:trPr>
        <w:tc>
          <w:tcPr>
            <w:tcW w:w="6249" w:type="dxa"/>
            <w:gridSpan w:val="2"/>
            <w:tcBorders>
              <w:left w:val="nil"/>
              <w:bottom w:val="nil"/>
            </w:tcBorders>
          </w:tcPr>
          <w:p w:rsidR="005A4C76" w:rsidRDefault="005A4C76">
            <w:pPr>
              <w:pStyle w:val="Default"/>
              <w:rPr>
                <w:sz w:val="22"/>
                <w:szCs w:val="22"/>
              </w:rPr>
            </w:pPr>
          </w:p>
        </w:tc>
        <w:tc>
          <w:tcPr>
            <w:tcW w:w="8505" w:type="dxa"/>
            <w:gridSpan w:val="3"/>
          </w:tcPr>
          <w:p w:rsidR="005A4C76" w:rsidRPr="00C96C2C" w:rsidRDefault="005A4C76" w:rsidP="002A671F">
            <w:pPr>
              <w:pStyle w:val="Default"/>
              <w:rPr>
                <w:sz w:val="22"/>
                <w:szCs w:val="22"/>
              </w:rPr>
            </w:pPr>
            <w:r>
              <w:rPr>
                <w:sz w:val="22"/>
                <w:szCs w:val="22"/>
              </w:rPr>
              <w:t xml:space="preserve"> </w:t>
            </w:r>
            <w:r w:rsidRPr="00C96C2C">
              <w:rPr>
                <w:sz w:val="22"/>
                <w:szCs w:val="22"/>
              </w:rPr>
              <w:t xml:space="preserve">Total spend                                              </w:t>
            </w:r>
            <w:r w:rsidR="00C47757" w:rsidRPr="00C96C2C">
              <w:rPr>
                <w:sz w:val="22"/>
                <w:szCs w:val="22"/>
              </w:rPr>
              <w:t xml:space="preserve">           </w:t>
            </w:r>
            <w:r w:rsidRPr="00C96C2C">
              <w:rPr>
                <w:sz w:val="22"/>
                <w:szCs w:val="22"/>
              </w:rPr>
              <w:t xml:space="preserve">£ </w:t>
            </w:r>
            <w:r w:rsidR="002A671F" w:rsidRPr="00C96C2C">
              <w:rPr>
                <w:sz w:val="22"/>
                <w:szCs w:val="22"/>
              </w:rPr>
              <w:t>571,773</w:t>
            </w:r>
          </w:p>
          <w:p w:rsidR="00C96C2C" w:rsidRPr="00C96C2C" w:rsidRDefault="005A4C76" w:rsidP="002A671F">
            <w:pPr>
              <w:pStyle w:val="Default"/>
              <w:rPr>
                <w:sz w:val="12"/>
                <w:szCs w:val="12"/>
              </w:rPr>
            </w:pPr>
            <w:r w:rsidRPr="00C96C2C">
              <w:rPr>
                <w:sz w:val="12"/>
                <w:szCs w:val="12"/>
              </w:rPr>
              <w:t xml:space="preserve">                                                                                                                                                                                                         </w:t>
            </w:r>
          </w:p>
          <w:p w:rsidR="005A4C76" w:rsidRPr="00C96C2C" w:rsidRDefault="005A4C76" w:rsidP="002A671F">
            <w:pPr>
              <w:pStyle w:val="Default"/>
              <w:rPr>
                <w:sz w:val="22"/>
                <w:szCs w:val="22"/>
              </w:rPr>
            </w:pPr>
            <w:r w:rsidRPr="00C96C2C">
              <w:rPr>
                <w:sz w:val="22"/>
                <w:szCs w:val="22"/>
              </w:rPr>
              <w:t xml:space="preserve">Total allocation                                        </w:t>
            </w:r>
            <w:r w:rsidR="00C47757" w:rsidRPr="00C96C2C">
              <w:rPr>
                <w:sz w:val="22"/>
                <w:szCs w:val="22"/>
              </w:rPr>
              <w:t xml:space="preserve">           </w:t>
            </w:r>
            <w:r w:rsidR="002A671F" w:rsidRPr="00C96C2C">
              <w:rPr>
                <w:sz w:val="22"/>
                <w:szCs w:val="22"/>
              </w:rPr>
              <w:t xml:space="preserve"> </w:t>
            </w:r>
            <w:r w:rsidRPr="00C96C2C">
              <w:rPr>
                <w:sz w:val="22"/>
                <w:szCs w:val="22"/>
              </w:rPr>
              <w:t xml:space="preserve">£ </w:t>
            </w:r>
            <w:r w:rsidR="00C96C2C" w:rsidRPr="00C96C2C">
              <w:rPr>
                <w:sz w:val="22"/>
                <w:szCs w:val="22"/>
              </w:rPr>
              <w:t>332,786</w:t>
            </w:r>
          </w:p>
          <w:p w:rsidR="00C96C2C" w:rsidRPr="00C96C2C" w:rsidRDefault="005A4C76" w:rsidP="00C96C2C">
            <w:pPr>
              <w:pStyle w:val="Default"/>
              <w:rPr>
                <w:sz w:val="12"/>
                <w:szCs w:val="12"/>
              </w:rPr>
            </w:pPr>
            <w:r w:rsidRPr="00C96C2C">
              <w:rPr>
                <w:sz w:val="12"/>
                <w:szCs w:val="12"/>
              </w:rPr>
              <w:t xml:space="preserve">                                                                                                                                                                                   </w:t>
            </w:r>
          </w:p>
          <w:p w:rsidR="005A4C76" w:rsidRDefault="005A4C76" w:rsidP="00C96C2C">
            <w:pPr>
              <w:pStyle w:val="Default"/>
              <w:rPr>
                <w:sz w:val="22"/>
                <w:szCs w:val="22"/>
              </w:rPr>
            </w:pPr>
            <w:r w:rsidRPr="00C96C2C">
              <w:rPr>
                <w:sz w:val="22"/>
                <w:szCs w:val="22"/>
              </w:rPr>
              <w:t xml:space="preserve"> Supported by school budgets               </w:t>
            </w:r>
            <w:r w:rsidR="00C47757" w:rsidRPr="00C96C2C">
              <w:rPr>
                <w:sz w:val="22"/>
                <w:szCs w:val="22"/>
              </w:rPr>
              <w:t xml:space="preserve">           </w:t>
            </w:r>
            <w:r w:rsidR="002A671F" w:rsidRPr="00C96C2C">
              <w:rPr>
                <w:sz w:val="22"/>
                <w:szCs w:val="22"/>
              </w:rPr>
              <w:t xml:space="preserve"> </w:t>
            </w:r>
            <w:r w:rsidRPr="00C96C2C">
              <w:rPr>
                <w:sz w:val="22"/>
                <w:szCs w:val="22"/>
              </w:rPr>
              <w:t xml:space="preserve">£ </w:t>
            </w:r>
            <w:r w:rsidR="002A671F" w:rsidRPr="00C96C2C">
              <w:rPr>
                <w:sz w:val="22"/>
                <w:szCs w:val="22"/>
              </w:rPr>
              <w:t>2</w:t>
            </w:r>
            <w:r w:rsidR="00C96C2C" w:rsidRPr="00C96C2C">
              <w:rPr>
                <w:sz w:val="22"/>
                <w:szCs w:val="22"/>
              </w:rPr>
              <w:t>38</w:t>
            </w:r>
            <w:r w:rsidR="002A671F" w:rsidRPr="00C96C2C">
              <w:rPr>
                <w:sz w:val="22"/>
                <w:szCs w:val="22"/>
              </w:rPr>
              <w:t>,</w:t>
            </w:r>
            <w:r w:rsidR="00C96C2C" w:rsidRPr="00C96C2C">
              <w:rPr>
                <w:sz w:val="22"/>
                <w:szCs w:val="22"/>
              </w:rPr>
              <w:t>987</w:t>
            </w:r>
          </w:p>
        </w:tc>
      </w:tr>
    </w:tbl>
    <w:p w:rsidR="00613CB5" w:rsidRDefault="00613CB5" w:rsidP="00613CB5">
      <w:pPr>
        <w:rPr>
          <w:sz w:val="20"/>
          <w:szCs w:val="20"/>
        </w:rPr>
      </w:pPr>
    </w:p>
    <w:sectPr w:rsidR="00613CB5" w:rsidSect="00613CB5">
      <w:pgSz w:w="15840" w:h="12240"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B5"/>
    <w:rsid w:val="000052A9"/>
    <w:rsid w:val="00006D97"/>
    <w:rsid w:val="000122B6"/>
    <w:rsid w:val="00012B54"/>
    <w:rsid w:val="00024890"/>
    <w:rsid w:val="00035242"/>
    <w:rsid w:val="00044482"/>
    <w:rsid w:val="00056674"/>
    <w:rsid w:val="0005760E"/>
    <w:rsid w:val="00061517"/>
    <w:rsid w:val="00062DCC"/>
    <w:rsid w:val="0006322E"/>
    <w:rsid w:val="00066DB4"/>
    <w:rsid w:val="00075BB3"/>
    <w:rsid w:val="0007661F"/>
    <w:rsid w:val="00076692"/>
    <w:rsid w:val="00076A0E"/>
    <w:rsid w:val="00086E59"/>
    <w:rsid w:val="00097A74"/>
    <w:rsid w:val="000A28FA"/>
    <w:rsid w:val="000A5B79"/>
    <w:rsid w:val="000C76C9"/>
    <w:rsid w:val="000D3922"/>
    <w:rsid w:val="000D45FC"/>
    <w:rsid w:val="000F6DC8"/>
    <w:rsid w:val="00127DC4"/>
    <w:rsid w:val="001408F1"/>
    <w:rsid w:val="00147111"/>
    <w:rsid w:val="00171F0B"/>
    <w:rsid w:val="00175ECE"/>
    <w:rsid w:val="00197123"/>
    <w:rsid w:val="001A40B4"/>
    <w:rsid w:val="001A46B5"/>
    <w:rsid w:val="001D3CE1"/>
    <w:rsid w:val="001E3674"/>
    <w:rsid w:val="001E4DF8"/>
    <w:rsid w:val="001E7788"/>
    <w:rsid w:val="001F61E9"/>
    <w:rsid w:val="00207BDA"/>
    <w:rsid w:val="0021406A"/>
    <w:rsid w:val="0023556C"/>
    <w:rsid w:val="00256D65"/>
    <w:rsid w:val="00273B20"/>
    <w:rsid w:val="00275AFA"/>
    <w:rsid w:val="002A2CE6"/>
    <w:rsid w:val="002A671F"/>
    <w:rsid w:val="002B0AA0"/>
    <w:rsid w:val="002B4758"/>
    <w:rsid w:val="002B5CF3"/>
    <w:rsid w:val="002C6D42"/>
    <w:rsid w:val="002D39C2"/>
    <w:rsid w:val="002E6A80"/>
    <w:rsid w:val="00305C60"/>
    <w:rsid w:val="00316423"/>
    <w:rsid w:val="00317FB7"/>
    <w:rsid w:val="00334F6F"/>
    <w:rsid w:val="00340F88"/>
    <w:rsid w:val="00344771"/>
    <w:rsid w:val="0035251E"/>
    <w:rsid w:val="00382693"/>
    <w:rsid w:val="00382C7D"/>
    <w:rsid w:val="003903D4"/>
    <w:rsid w:val="00390552"/>
    <w:rsid w:val="003A3B88"/>
    <w:rsid w:val="003B1692"/>
    <w:rsid w:val="003B5EC6"/>
    <w:rsid w:val="003C01C7"/>
    <w:rsid w:val="003C1968"/>
    <w:rsid w:val="003D632D"/>
    <w:rsid w:val="003F4518"/>
    <w:rsid w:val="0040212A"/>
    <w:rsid w:val="00402C45"/>
    <w:rsid w:val="00407927"/>
    <w:rsid w:val="00410637"/>
    <w:rsid w:val="00427080"/>
    <w:rsid w:val="00427D38"/>
    <w:rsid w:val="00437A5E"/>
    <w:rsid w:val="004431AD"/>
    <w:rsid w:val="00451D4B"/>
    <w:rsid w:val="00470874"/>
    <w:rsid w:val="004713FE"/>
    <w:rsid w:val="0047280F"/>
    <w:rsid w:val="0047743A"/>
    <w:rsid w:val="004808A6"/>
    <w:rsid w:val="004A7BA3"/>
    <w:rsid w:val="004B6871"/>
    <w:rsid w:val="004C045D"/>
    <w:rsid w:val="004C38CA"/>
    <w:rsid w:val="004C5EE8"/>
    <w:rsid w:val="004D522E"/>
    <w:rsid w:val="004D72A7"/>
    <w:rsid w:val="004F5545"/>
    <w:rsid w:val="00515AE3"/>
    <w:rsid w:val="00527A3C"/>
    <w:rsid w:val="0053541C"/>
    <w:rsid w:val="00545969"/>
    <w:rsid w:val="005617EC"/>
    <w:rsid w:val="00562514"/>
    <w:rsid w:val="0057620B"/>
    <w:rsid w:val="0058296A"/>
    <w:rsid w:val="00586CD0"/>
    <w:rsid w:val="005A352C"/>
    <w:rsid w:val="005A4C76"/>
    <w:rsid w:val="005B2850"/>
    <w:rsid w:val="005B58B0"/>
    <w:rsid w:val="005C73F1"/>
    <w:rsid w:val="005D2BB8"/>
    <w:rsid w:val="005E3D3C"/>
    <w:rsid w:val="005F571A"/>
    <w:rsid w:val="00604B95"/>
    <w:rsid w:val="006072FC"/>
    <w:rsid w:val="00613CB5"/>
    <w:rsid w:val="00614DAE"/>
    <w:rsid w:val="00624263"/>
    <w:rsid w:val="006366EA"/>
    <w:rsid w:val="00637955"/>
    <w:rsid w:val="00651529"/>
    <w:rsid w:val="00667619"/>
    <w:rsid w:val="0067015D"/>
    <w:rsid w:val="0067284B"/>
    <w:rsid w:val="0067542C"/>
    <w:rsid w:val="006874DA"/>
    <w:rsid w:val="0069053A"/>
    <w:rsid w:val="006A226A"/>
    <w:rsid w:val="006B46A6"/>
    <w:rsid w:val="006E14C8"/>
    <w:rsid w:val="00707D5E"/>
    <w:rsid w:val="00710B7A"/>
    <w:rsid w:val="00717243"/>
    <w:rsid w:val="0072279B"/>
    <w:rsid w:val="0074198A"/>
    <w:rsid w:val="00745FED"/>
    <w:rsid w:val="00761BA4"/>
    <w:rsid w:val="00763110"/>
    <w:rsid w:val="00766789"/>
    <w:rsid w:val="007B40F4"/>
    <w:rsid w:val="007C5FBD"/>
    <w:rsid w:val="007D1BC4"/>
    <w:rsid w:val="007D3EC6"/>
    <w:rsid w:val="007D79F5"/>
    <w:rsid w:val="007F30DB"/>
    <w:rsid w:val="007F403F"/>
    <w:rsid w:val="007F4ECC"/>
    <w:rsid w:val="0081325B"/>
    <w:rsid w:val="008346A9"/>
    <w:rsid w:val="00844538"/>
    <w:rsid w:val="0085788B"/>
    <w:rsid w:val="00894994"/>
    <w:rsid w:val="008A3C56"/>
    <w:rsid w:val="008B2FA0"/>
    <w:rsid w:val="008B5282"/>
    <w:rsid w:val="008C3487"/>
    <w:rsid w:val="008D1881"/>
    <w:rsid w:val="008E40F9"/>
    <w:rsid w:val="008F3E09"/>
    <w:rsid w:val="00921612"/>
    <w:rsid w:val="00922AF2"/>
    <w:rsid w:val="009277D6"/>
    <w:rsid w:val="009420EB"/>
    <w:rsid w:val="009549E0"/>
    <w:rsid w:val="00973B96"/>
    <w:rsid w:val="009801D5"/>
    <w:rsid w:val="009823D9"/>
    <w:rsid w:val="009A6155"/>
    <w:rsid w:val="009B61E0"/>
    <w:rsid w:val="009B72E7"/>
    <w:rsid w:val="009C4B0A"/>
    <w:rsid w:val="00A038B8"/>
    <w:rsid w:val="00A15309"/>
    <w:rsid w:val="00A51A58"/>
    <w:rsid w:val="00A76C1A"/>
    <w:rsid w:val="00A969AB"/>
    <w:rsid w:val="00AB431F"/>
    <w:rsid w:val="00AD212E"/>
    <w:rsid w:val="00AE42A4"/>
    <w:rsid w:val="00AE73B7"/>
    <w:rsid w:val="00B03547"/>
    <w:rsid w:val="00B24746"/>
    <w:rsid w:val="00B31BC9"/>
    <w:rsid w:val="00B43768"/>
    <w:rsid w:val="00B47AB5"/>
    <w:rsid w:val="00B513F3"/>
    <w:rsid w:val="00B65D99"/>
    <w:rsid w:val="00B77DCD"/>
    <w:rsid w:val="00B82684"/>
    <w:rsid w:val="00BA49D7"/>
    <w:rsid w:val="00BB1860"/>
    <w:rsid w:val="00BC7250"/>
    <w:rsid w:val="00BD0E3D"/>
    <w:rsid w:val="00BE6781"/>
    <w:rsid w:val="00C02030"/>
    <w:rsid w:val="00C12D91"/>
    <w:rsid w:val="00C47757"/>
    <w:rsid w:val="00C50E2F"/>
    <w:rsid w:val="00C51251"/>
    <w:rsid w:val="00C515ED"/>
    <w:rsid w:val="00C568D5"/>
    <w:rsid w:val="00C71D8C"/>
    <w:rsid w:val="00C81550"/>
    <w:rsid w:val="00C96C2C"/>
    <w:rsid w:val="00CA27CC"/>
    <w:rsid w:val="00CB7705"/>
    <w:rsid w:val="00D04860"/>
    <w:rsid w:val="00D05695"/>
    <w:rsid w:val="00D33E81"/>
    <w:rsid w:val="00D378AF"/>
    <w:rsid w:val="00D53E74"/>
    <w:rsid w:val="00D62BDD"/>
    <w:rsid w:val="00D70073"/>
    <w:rsid w:val="00D80188"/>
    <w:rsid w:val="00D856A2"/>
    <w:rsid w:val="00D93F4E"/>
    <w:rsid w:val="00DA12A8"/>
    <w:rsid w:val="00DA40D4"/>
    <w:rsid w:val="00DC20B4"/>
    <w:rsid w:val="00DC4002"/>
    <w:rsid w:val="00DD3C24"/>
    <w:rsid w:val="00DE10A8"/>
    <w:rsid w:val="00DF3EB6"/>
    <w:rsid w:val="00E1236D"/>
    <w:rsid w:val="00E364D9"/>
    <w:rsid w:val="00E46776"/>
    <w:rsid w:val="00E46849"/>
    <w:rsid w:val="00E51518"/>
    <w:rsid w:val="00E5174F"/>
    <w:rsid w:val="00E63340"/>
    <w:rsid w:val="00E64821"/>
    <w:rsid w:val="00E6485B"/>
    <w:rsid w:val="00E7072B"/>
    <w:rsid w:val="00E72A8D"/>
    <w:rsid w:val="00E84B2B"/>
    <w:rsid w:val="00E93615"/>
    <w:rsid w:val="00E95F39"/>
    <w:rsid w:val="00EC1511"/>
    <w:rsid w:val="00ED0310"/>
    <w:rsid w:val="00ED1A5A"/>
    <w:rsid w:val="00ED771A"/>
    <w:rsid w:val="00EF2ADC"/>
    <w:rsid w:val="00F118F5"/>
    <w:rsid w:val="00F252F5"/>
    <w:rsid w:val="00F3689E"/>
    <w:rsid w:val="00F57090"/>
    <w:rsid w:val="00F600AB"/>
    <w:rsid w:val="00F6134B"/>
    <w:rsid w:val="00FA57B5"/>
    <w:rsid w:val="00FB4201"/>
    <w:rsid w:val="00FD5DBC"/>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13C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1236D"/>
    <w:rPr>
      <w:rFonts w:ascii="Tahoma" w:hAnsi="Tahoma"/>
      <w:sz w:val="16"/>
      <w:szCs w:val="16"/>
      <w:lang w:val="x-none" w:eastAsia="x-none"/>
    </w:rPr>
  </w:style>
  <w:style w:type="character" w:customStyle="1" w:styleId="BalloonTextChar">
    <w:name w:val="Balloon Text Char"/>
    <w:link w:val="BalloonText"/>
    <w:rsid w:val="00E1236D"/>
    <w:rPr>
      <w:rFonts w:ascii="Tahoma" w:hAnsi="Tahoma" w:cs="Tahoma"/>
      <w:sz w:val="16"/>
      <w:szCs w:val="16"/>
    </w:rPr>
  </w:style>
  <w:style w:type="paragraph" w:styleId="NormalWeb">
    <w:name w:val="Normal (Web)"/>
    <w:basedOn w:val="Normal"/>
    <w:uiPriority w:val="99"/>
    <w:unhideWhenUsed/>
    <w:rsid w:val="003B1692"/>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13C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1236D"/>
    <w:rPr>
      <w:rFonts w:ascii="Tahoma" w:hAnsi="Tahoma"/>
      <w:sz w:val="16"/>
      <w:szCs w:val="16"/>
      <w:lang w:val="x-none" w:eastAsia="x-none"/>
    </w:rPr>
  </w:style>
  <w:style w:type="character" w:customStyle="1" w:styleId="BalloonTextChar">
    <w:name w:val="Balloon Text Char"/>
    <w:link w:val="BalloonText"/>
    <w:rsid w:val="00E1236D"/>
    <w:rPr>
      <w:rFonts w:ascii="Tahoma" w:hAnsi="Tahoma" w:cs="Tahoma"/>
      <w:sz w:val="16"/>
      <w:szCs w:val="16"/>
    </w:rPr>
  </w:style>
  <w:style w:type="paragraph" w:styleId="NormalWeb">
    <w:name w:val="Normal (Web)"/>
    <w:basedOn w:val="Normal"/>
    <w:uiPriority w:val="99"/>
    <w:unhideWhenUsed/>
    <w:rsid w:val="003B169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327">
      <w:bodyDiv w:val="1"/>
      <w:marLeft w:val="0"/>
      <w:marRight w:val="0"/>
      <w:marTop w:val="0"/>
      <w:marBottom w:val="0"/>
      <w:divBdr>
        <w:top w:val="none" w:sz="0" w:space="0" w:color="auto"/>
        <w:left w:val="none" w:sz="0" w:space="0" w:color="auto"/>
        <w:bottom w:val="none" w:sz="0" w:space="0" w:color="auto"/>
        <w:right w:val="none" w:sz="0" w:space="0" w:color="auto"/>
      </w:divBdr>
    </w:div>
    <w:div w:id="816872057">
      <w:bodyDiv w:val="1"/>
      <w:marLeft w:val="0"/>
      <w:marRight w:val="0"/>
      <w:marTop w:val="0"/>
      <w:marBottom w:val="0"/>
      <w:divBdr>
        <w:top w:val="none" w:sz="0" w:space="0" w:color="auto"/>
        <w:left w:val="none" w:sz="0" w:space="0" w:color="auto"/>
        <w:bottom w:val="none" w:sz="0" w:space="0" w:color="auto"/>
        <w:right w:val="none" w:sz="0" w:space="0" w:color="auto"/>
      </w:divBdr>
    </w:div>
    <w:div w:id="1130635583">
      <w:bodyDiv w:val="1"/>
      <w:marLeft w:val="0"/>
      <w:marRight w:val="0"/>
      <w:marTop w:val="0"/>
      <w:marBottom w:val="0"/>
      <w:divBdr>
        <w:top w:val="none" w:sz="0" w:space="0" w:color="auto"/>
        <w:left w:val="none" w:sz="0" w:space="0" w:color="auto"/>
        <w:bottom w:val="none" w:sz="0" w:space="0" w:color="auto"/>
        <w:right w:val="none" w:sz="0" w:space="0" w:color="auto"/>
      </w:divBdr>
    </w:div>
    <w:div w:id="1131440556">
      <w:bodyDiv w:val="1"/>
      <w:marLeft w:val="0"/>
      <w:marRight w:val="0"/>
      <w:marTop w:val="0"/>
      <w:marBottom w:val="0"/>
      <w:divBdr>
        <w:top w:val="none" w:sz="0" w:space="0" w:color="auto"/>
        <w:left w:val="none" w:sz="0" w:space="0" w:color="auto"/>
        <w:bottom w:val="none" w:sz="0" w:space="0" w:color="auto"/>
        <w:right w:val="none" w:sz="0" w:space="0" w:color="auto"/>
      </w:divBdr>
    </w:div>
    <w:div w:id="1266231177">
      <w:bodyDiv w:val="1"/>
      <w:marLeft w:val="0"/>
      <w:marRight w:val="0"/>
      <w:marTop w:val="0"/>
      <w:marBottom w:val="0"/>
      <w:divBdr>
        <w:top w:val="none" w:sz="0" w:space="0" w:color="auto"/>
        <w:left w:val="none" w:sz="0" w:space="0" w:color="auto"/>
        <w:bottom w:val="none" w:sz="0" w:space="0" w:color="auto"/>
        <w:right w:val="none" w:sz="0" w:space="0" w:color="auto"/>
      </w:divBdr>
      <w:divsChild>
        <w:div w:id="94598081">
          <w:marLeft w:val="0"/>
          <w:marRight w:val="0"/>
          <w:marTop w:val="0"/>
          <w:marBottom w:val="0"/>
          <w:divBdr>
            <w:top w:val="none" w:sz="0" w:space="0" w:color="auto"/>
            <w:left w:val="none" w:sz="0" w:space="0" w:color="auto"/>
            <w:bottom w:val="none" w:sz="0" w:space="0" w:color="auto"/>
            <w:right w:val="none" w:sz="0" w:space="0" w:color="auto"/>
          </w:divBdr>
        </w:div>
        <w:div w:id="390154201">
          <w:marLeft w:val="0"/>
          <w:marRight w:val="0"/>
          <w:marTop w:val="0"/>
          <w:marBottom w:val="0"/>
          <w:divBdr>
            <w:top w:val="none" w:sz="0" w:space="0" w:color="auto"/>
            <w:left w:val="none" w:sz="0" w:space="0" w:color="auto"/>
            <w:bottom w:val="none" w:sz="0" w:space="0" w:color="auto"/>
            <w:right w:val="none" w:sz="0" w:space="0" w:color="auto"/>
          </w:divBdr>
        </w:div>
        <w:div w:id="485443043">
          <w:marLeft w:val="0"/>
          <w:marRight w:val="0"/>
          <w:marTop w:val="0"/>
          <w:marBottom w:val="0"/>
          <w:divBdr>
            <w:top w:val="none" w:sz="0" w:space="0" w:color="auto"/>
            <w:left w:val="none" w:sz="0" w:space="0" w:color="auto"/>
            <w:bottom w:val="none" w:sz="0" w:space="0" w:color="auto"/>
            <w:right w:val="none" w:sz="0" w:space="0" w:color="auto"/>
          </w:divBdr>
        </w:div>
        <w:div w:id="745347493">
          <w:marLeft w:val="0"/>
          <w:marRight w:val="0"/>
          <w:marTop w:val="0"/>
          <w:marBottom w:val="0"/>
          <w:divBdr>
            <w:top w:val="none" w:sz="0" w:space="0" w:color="auto"/>
            <w:left w:val="none" w:sz="0" w:space="0" w:color="auto"/>
            <w:bottom w:val="none" w:sz="0" w:space="0" w:color="auto"/>
            <w:right w:val="none" w:sz="0" w:space="0" w:color="auto"/>
          </w:divBdr>
        </w:div>
        <w:div w:id="962614815">
          <w:marLeft w:val="0"/>
          <w:marRight w:val="0"/>
          <w:marTop w:val="0"/>
          <w:marBottom w:val="0"/>
          <w:divBdr>
            <w:top w:val="none" w:sz="0" w:space="0" w:color="auto"/>
            <w:left w:val="none" w:sz="0" w:space="0" w:color="auto"/>
            <w:bottom w:val="none" w:sz="0" w:space="0" w:color="auto"/>
            <w:right w:val="none" w:sz="0" w:space="0" w:color="auto"/>
          </w:divBdr>
        </w:div>
        <w:div w:id="1117063144">
          <w:marLeft w:val="0"/>
          <w:marRight w:val="0"/>
          <w:marTop w:val="0"/>
          <w:marBottom w:val="0"/>
          <w:divBdr>
            <w:top w:val="none" w:sz="0" w:space="0" w:color="auto"/>
            <w:left w:val="none" w:sz="0" w:space="0" w:color="auto"/>
            <w:bottom w:val="none" w:sz="0" w:space="0" w:color="auto"/>
            <w:right w:val="none" w:sz="0" w:space="0" w:color="auto"/>
          </w:divBdr>
        </w:div>
        <w:div w:id="1374965403">
          <w:marLeft w:val="0"/>
          <w:marRight w:val="0"/>
          <w:marTop w:val="0"/>
          <w:marBottom w:val="0"/>
          <w:divBdr>
            <w:top w:val="none" w:sz="0" w:space="0" w:color="auto"/>
            <w:left w:val="none" w:sz="0" w:space="0" w:color="auto"/>
            <w:bottom w:val="none" w:sz="0" w:space="0" w:color="auto"/>
            <w:right w:val="none" w:sz="0" w:space="0" w:color="auto"/>
          </w:divBdr>
        </w:div>
        <w:div w:id="1588728911">
          <w:marLeft w:val="0"/>
          <w:marRight w:val="0"/>
          <w:marTop w:val="0"/>
          <w:marBottom w:val="0"/>
          <w:divBdr>
            <w:top w:val="none" w:sz="0" w:space="0" w:color="auto"/>
            <w:left w:val="none" w:sz="0" w:space="0" w:color="auto"/>
            <w:bottom w:val="none" w:sz="0" w:space="0" w:color="auto"/>
            <w:right w:val="none" w:sz="0" w:space="0" w:color="auto"/>
          </w:divBdr>
        </w:div>
        <w:div w:id="1825467616">
          <w:marLeft w:val="0"/>
          <w:marRight w:val="0"/>
          <w:marTop w:val="0"/>
          <w:marBottom w:val="0"/>
          <w:divBdr>
            <w:top w:val="none" w:sz="0" w:space="0" w:color="auto"/>
            <w:left w:val="none" w:sz="0" w:space="0" w:color="auto"/>
            <w:bottom w:val="none" w:sz="0" w:space="0" w:color="auto"/>
            <w:right w:val="none" w:sz="0" w:space="0" w:color="auto"/>
          </w:divBdr>
        </w:div>
        <w:div w:id="1880122123">
          <w:marLeft w:val="0"/>
          <w:marRight w:val="0"/>
          <w:marTop w:val="0"/>
          <w:marBottom w:val="0"/>
          <w:divBdr>
            <w:top w:val="none" w:sz="0" w:space="0" w:color="auto"/>
            <w:left w:val="none" w:sz="0" w:space="0" w:color="auto"/>
            <w:bottom w:val="none" w:sz="0" w:space="0" w:color="auto"/>
            <w:right w:val="none" w:sz="0" w:space="0" w:color="auto"/>
          </w:divBdr>
        </w:div>
      </w:divsChild>
    </w:div>
    <w:div w:id="1817991146">
      <w:bodyDiv w:val="1"/>
      <w:marLeft w:val="0"/>
      <w:marRight w:val="0"/>
      <w:marTop w:val="0"/>
      <w:marBottom w:val="0"/>
      <w:divBdr>
        <w:top w:val="none" w:sz="0" w:space="0" w:color="auto"/>
        <w:left w:val="none" w:sz="0" w:space="0" w:color="auto"/>
        <w:bottom w:val="none" w:sz="0" w:space="0" w:color="auto"/>
        <w:right w:val="none" w:sz="0" w:space="0" w:color="auto"/>
      </w:divBdr>
    </w:div>
    <w:div w:id="20780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 2017-18</Template>
  <TotalTime>0</TotalTime>
  <Pages>7</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Pupil Premium Report September 2012</vt:lpstr>
    </vt:vector>
  </TitlesOfParts>
  <Company>RM Education</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Report September 2012</dc:title>
  <dc:subject>PPG</dc:subject>
  <dc:creator>PMK</dc:creator>
  <cp:lastModifiedBy>Mrs P. McIntosh-Kemp</cp:lastModifiedBy>
  <cp:revision>2</cp:revision>
  <cp:lastPrinted>2017-10-16T18:07:00Z</cp:lastPrinted>
  <dcterms:created xsi:type="dcterms:W3CDTF">2019-04-30T11:35:00Z</dcterms:created>
  <dcterms:modified xsi:type="dcterms:W3CDTF">2019-04-30T11:35:00Z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234321631</vt:i4>
  </property>
</Properties>
</file>